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205</w:t>
      </w:r>
    </w:p>
    <w:p w:rsidR="00A77B3E">
      <w:pPr>
        <w:pStyle w:val="3"/>
      </w:pPr>
      <w:r>
        <w:t>VYHLÁŠKA</w:t>
      </w:r>
    </w:p>
    <w:p w:rsidR="00A77B3E">
      <w:pPr>
        <w:pStyle w:val="4"/>
      </w:pPr>
      <w:r>
        <w:t>ze dne 20. června 2025,</w:t>
      </w:r>
    </w:p>
    <w:p w:rsidR="00A77B3E">
      <w:pPr>
        <w:pStyle w:val="5"/>
      </w:pPr>
      <w:r>
        <w:t>kterou se mění vyhláška č. 294/2015 Sb., kterou se provádějí pravidla provozu na pozemních komunikacích, ve znění pozdějších předpisů</w:t>
      </w:r>
    </w:p>
    <w:p w:rsidR="00A77B3E">
      <w:pPr>
        <w:pStyle w:val="6"/>
      </w:pPr>
      <w:r>
        <w:t xml:space="preserve">Ministerstvo dopravy stanoví podle </w:t>
      </w:r>
      <w:r>
        <w:t>§ 137 odst. 2</w:t>
      </w:r>
      <w:r>
        <w:t xml:space="preserve"> </w:t>
      </w:r>
      <w:r>
        <w:t>zákona č. 361/2000 Sb., o provozu na pozemních komunikacích a o změnách některých zákonů</w:t>
      </w:r>
      <w:r>
        <w:t xml:space="preserve"> (zákon o silničním provozu), ve znění </w:t>
      </w:r>
      <w:r>
        <w:t>zákona č. 478/2001 Sb.</w:t>
      </w:r>
      <w:r>
        <w:t xml:space="preserve">, </w:t>
      </w:r>
      <w:r>
        <w:t>zákona č. 53/2004 Sb.</w:t>
      </w:r>
      <w:r>
        <w:t xml:space="preserve">, </w:t>
      </w:r>
      <w:r>
        <w:t>zákona č. 411/2005 Sb.</w:t>
      </w:r>
      <w:r>
        <w:t xml:space="preserve">, </w:t>
      </w:r>
      <w:r>
        <w:t>zákona č. 226/2006 Sb.</w:t>
      </w:r>
      <w:r>
        <w:t xml:space="preserve">, </w:t>
      </w:r>
      <w:r>
        <w:t>zákona č. 274/2008 Sb.</w:t>
      </w:r>
      <w:r>
        <w:t xml:space="preserve">, </w:t>
      </w:r>
      <w:r>
        <w:t>zákona č. 133/2011 Sb.</w:t>
      </w:r>
      <w:r>
        <w:t xml:space="preserve">, </w:t>
      </w:r>
      <w:r>
        <w:t>zákona č. 297/2011 Sb.</w:t>
      </w:r>
      <w:r>
        <w:t xml:space="preserve">, </w:t>
      </w:r>
      <w:r>
        <w:t>zákona č. 230/2014 Sb.</w:t>
      </w:r>
      <w:r>
        <w:t xml:space="preserve">, </w:t>
      </w:r>
      <w:r>
        <w:t>zákona č. 249/2014 Sb.</w:t>
      </w:r>
      <w:r>
        <w:t xml:space="preserve">, </w:t>
      </w:r>
      <w:r>
        <w:t>zákona č. 48/2016 Sb.</w:t>
      </w:r>
      <w:r>
        <w:t xml:space="preserve">, </w:t>
      </w:r>
      <w:r>
        <w:t>zákona č. 199/2017 Sb.</w:t>
      </w:r>
      <w:r>
        <w:t xml:space="preserve">, </w:t>
      </w:r>
      <w:r>
        <w:t>zákona č. 193/2018 Sb.</w:t>
      </w:r>
      <w:r>
        <w:t xml:space="preserve">, </w:t>
      </w:r>
      <w:r>
        <w:t>zákona č. 337/2020 Sb.</w:t>
      </w:r>
      <w:r>
        <w:t xml:space="preserve">, </w:t>
      </w:r>
      <w:r>
        <w:t>zákona č. 220/2021 Sb.</w:t>
      </w:r>
      <w:r>
        <w:t xml:space="preserve">, </w:t>
      </w:r>
      <w:r>
        <w:t>zákona č. 261/2021 Sb.</w:t>
      </w:r>
      <w:r>
        <w:t xml:space="preserve">, </w:t>
      </w:r>
      <w:r>
        <w:t>zákona č. 150/2023 Sb.</w:t>
      </w:r>
      <w:r>
        <w:t xml:space="preserve">, </w:t>
      </w:r>
      <w:r>
        <w:t>zákona č. 271/2023 Sb.</w:t>
      </w:r>
      <w:r>
        <w:t xml:space="preserve"> a </w:t>
      </w:r>
      <w:r>
        <w:t>zákona č. 130/2025 Sb.</w:t>
      </w:r>
      <w:r>
        <w:t>:</w:t>
      </w:r>
    </w:p>
    <w:p w:rsidR="00A77B3E">
      <w:pPr>
        <w:pStyle w:val="1"/>
      </w:pPr>
    </w:p>
    <w:p w:rsidR="00A77B3E">
      <w:pPr>
        <w:pStyle w:val="7"/>
      </w:pPr>
      <w:r>
        <w:t>Čl. I</w:t>
      </w:r>
    </w:p>
    <w:p w:rsidR="00A77B3E">
      <w:pPr>
        <w:pStyle w:val="8"/>
      </w:pPr>
      <w:r>
        <w:t>Vyhláška č. 294/2015 Sb., kterou se provádějí pravidla provozu na pozemních komunikacích</w:t>
      </w:r>
      <w:r>
        <w:t xml:space="preserve">, ve znění </w:t>
      </w:r>
      <w:r>
        <w:t>vyhlášky č. 84/2016 Sb.</w:t>
      </w:r>
      <w:r>
        <w:t xml:space="preserve">, </w:t>
      </w:r>
      <w:r>
        <w:t>vyhlášky č. 509/2021 Sb.</w:t>
      </w:r>
      <w:r>
        <w:t xml:space="preserve"> a </w:t>
      </w:r>
      <w:r>
        <w:t>vyhlášky č. 386/2023 Sb.</w:t>
      </w:r>
      <w:r>
        <w:t>, se mění takto:</w:t>
      </w:r>
    </w:p>
    <w:p w:rsidR="00A77B3E">
      <w:pPr>
        <w:pStyle w:val="9"/>
      </w:pPr>
      <w:r>
        <w:t>1.</w:t>
      </w:r>
      <w:r>
        <w:t>    V § 2 se na konci odstavce 2 doplňuje věta „Je-li to účelné, nebo je-li to stanoveno v příloze k této vyhlášce, mohou být informativní značky směrové umístěny i jinde než při pravém okraji pozemní komunikace.“.</w:t>
      </w:r>
    </w:p>
    <w:p w:rsidR="00A77B3E">
      <w:pPr>
        <w:pStyle w:val="10"/>
      </w:pPr>
      <w:r>
        <w:t>2.</w:t>
      </w:r>
      <w:r>
        <w:t>    V § 13 se za odstavec 1 vkládá nový odstavec 2, který zní:</w:t>
      </w:r>
    </w:p>
    <w:p w:rsidR="00A77B3E">
      <w:pPr>
        <w:pStyle w:val="11"/>
      </w:pPr>
    </w:p>
    <w:p w:rsidR="00A77B3E">
      <w:pPr>
        <w:pStyle w:val="12"/>
      </w:pPr>
      <w:r>
        <w:t>„(2)</w:t>
      </w:r>
      <w:r>
        <w:t>    Pro zdůraznění významu a zlepšení viditelnosti lze světlené signály zvýraznit orámováním bílou barvou.“.</w:t>
      </w:r>
    </w:p>
    <w:p w:rsidR="00A77B3E">
      <w:pPr>
        <w:pStyle w:val="13"/>
      </w:pPr>
      <w:r>
        <w:t>Dosavadní odstavec 2 se označuje jako odstavec 3.</w:t>
      </w:r>
    </w:p>
    <w:p w:rsidR="00A77B3E">
      <w:pPr>
        <w:pStyle w:val="9"/>
      </w:pPr>
      <w:r>
        <w:t>3.</w:t>
      </w:r>
      <w:r>
        <w:t>    V § 14 se na konci odstavce 1 doplňuje věta „Akustické signály mohou být ovládány také dálkovým vysílačem osoby se zrakovým postižením.“.</w:t>
      </w:r>
    </w:p>
    <w:p w:rsidR="00A77B3E">
      <w:pPr>
        <w:pStyle w:val="10"/>
      </w:pPr>
      <w:r>
        <w:t>4.</w:t>
      </w:r>
      <w:r>
        <w:t>    V § 21 se doplňuje odstavec 3, který zní:</w:t>
      </w:r>
    </w:p>
    <w:p w:rsidR="00A77B3E">
      <w:pPr>
        <w:pStyle w:val="11"/>
      </w:pPr>
    </w:p>
    <w:p w:rsidR="00A77B3E">
      <w:pPr>
        <w:pStyle w:val="14"/>
      </w:pPr>
      <w:r>
        <w:t>„(3)</w:t>
      </w:r>
      <w:r>
        <w:t>    Označení autobusu přepravujícího děti má rozměry minimálně 400 × 400 mm a umísťuje se při přepravě dětí viditelně na přední i na zadní čelo autobusu, přitom nesmí omezovat výhled řidiče. Přípustné je také inverzní barevné zobrazení prostřednictvím elektronických informačních panelů o rozměrech činné plochy nejméně 310 × 180 mm.“.</w:t>
      </w:r>
    </w:p>
    <w:p w:rsidR="00A77B3E">
      <w:pPr>
        <w:pStyle w:val="15"/>
      </w:pPr>
      <w:r>
        <w:t>5.</w:t>
      </w:r>
      <w:r>
        <w:t>    Poznámka pod čarou č. 2 zní:</w:t>
      </w:r>
    </w:p>
    <w:p w:rsidR="00A77B3E">
      <w:pPr>
        <w:pStyle w:val="11"/>
      </w:pPr>
    </w:p>
    <w:p w:rsidR="00A77B3E">
      <w:pPr>
        <w:pStyle w:val="16"/>
      </w:pPr>
      <w:r>
        <w:t>„</w:t>
      </w:r>
      <w:r>
        <w:rPr>
          <w:vertAlign w:val="superscript"/>
        </w:rPr>
        <w:t>2</w:t>
      </w:r>
      <w:r>
        <w:t>)</w:t>
      </w:r>
      <w:r>
        <w:t>    Vyhláška č. 153/2023 Sb., o schvalování technické způsobilosti vozidel a technických podmínkách provozu vozidel na pozemních komunikacích.“.</w:t>
      </w:r>
    </w:p>
    <w:p w:rsidR="00A77B3E">
      <w:pPr>
        <w:pStyle w:val="15"/>
      </w:pPr>
      <w:r>
        <w:t>6.</w:t>
      </w:r>
      <w:r>
        <w:t>    V § 23 odstavec 2 zní:</w:t>
      </w:r>
    </w:p>
    <w:p w:rsidR="00A77B3E">
      <w:pPr>
        <w:pStyle w:val="11"/>
      </w:pPr>
    </w:p>
    <w:p w:rsidR="00A77B3E">
      <w:pPr>
        <w:pStyle w:val="14"/>
      </w:pPr>
      <w:r>
        <w:t>„(2)</w:t>
      </w:r>
      <w:r>
        <w:t>    Vzor pokynů policisty při řízení provozu na pozemních komunikacích je uveden v příloze č. 14 k této vyhlášce.“.</w:t>
      </w:r>
    </w:p>
    <w:p w:rsidR="00A77B3E">
      <w:pPr>
        <w:pStyle w:val="15"/>
      </w:pPr>
      <w:r>
        <w:t>7.</w:t>
      </w:r>
      <w:r>
        <w:t>    V příloze č. 2 položka č. P 1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412"/>
        <w:gridCol w:w="2165"/>
        <w:gridCol w:w="8364"/>
      </w:tblGrid>
      <w:tr>
        <w:tblPrEx>
          <w:tblW w:w="11980" w:type="dxa"/>
          <w:tblInd w:w="162" w:type="dxa"/>
          <w:tblLook w:val="05E0"/>
        </w:tblPrEx>
        <w:trPr>
          <w:trHeight w:val="360"/>
          <w:tblHeader w:val="0"/>
        </w:trPr>
        <w:tc>
          <w:tcPr>
            <w:tcW w:w="25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 1</w:t>
            </w:r>
          </w:p>
        </w:tc>
        <w:tc>
          <w:tcPr>
            <w:tcW w:w="1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567540" cy="525702"/>
                  <wp:docPr id="100001" name="" descr="sbcr2025c205z0205o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67540" cy="525702"/>
                          </a:xfrm>
                          <a:prstGeom prst="rect">
                            <a:avLst/>
                          </a:prstGeom>
                        </pic:spPr>
                      </pic:pic>
                    </a:graphicData>
                  </a:graphic>
                </wp:inline>
              </w:drawing>
            </w:r>
          </w:p>
        </w:tc>
        <w:tc>
          <w:tcPr>
            <w:tcW w:w="46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bottom"/>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Křižovatka s vedlejší pozemní komunikací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upozorňuje mimo obec na křižovatku a označuje hlavní pozemní komunikaci. Na značce může být znázorněno i jen levé připojení</w:t>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116189" cy="190474"/>
                  <wp:docPr id="100003" name="" descr="sbcr2025c205z0205o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
                          <a:stretch>
                            <a:fillRect/>
                          </a:stretch>
                        </pic:blipFill>
                        <pic:spPr>
                          <a:xfrm>
                            <a:off x="0" y="0"/>
                            <a:ext cx="116189" cy="190474"/>
                          </a:xfrm>
                          <a:prstGeom prst="rect">
                            <a:avLst/>
                          </a:prstGeom>
                        </pic:spPr>
                      </pic:pic>
                    </a:graphicData>
                  </a:graphic>
                </wp:inline>
              </w:drawing>
            </w:r>
          </w:p>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sz w:val="20"/>
                <w:szCs w:val="20"/>
              </w:rPr>
              <w:t>, pravé připojení</w:t>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109486" cy="213210"/>
                  <wp:docPr id="100005" name="" descr="sbcr2025c205z0205o0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109486" cy="213210"/>
                          </a:xfrm>
                          <a:prstGeom prst="rect">
                            <a:avLst/>
                          </a:prstGeom>
                        </pic:spPr>
                      </pic:pic>
                    </a:graphicData>
                  </a:graphic>
                </wp:inline>
              </w:drawing>
            </w:r>
          </w:p>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sz w:val="20"/>
                <w:szCs w:val="20"/>
              </w:rPr>
              <w:t>, levé šikmé připojení</w:t>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111720" cy="204179"/>
                  <wp:docPr id="100007" name="" descr="sbcr2025c205z0205o00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111720" cy="204179"/>
                          </a:xfrm>
                          <a:prstGeom prst="rect">
                            <a:avLst/>
                          </a:prstGeom>
                        </pic:spPr>
                      </pic:pic>
                    </a:graphicData>
                  </a:graphic>
                </wp:inline>
              </w:drawing>
            </w:r>
          </w:p>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sz w:val="20"/>
                <w:szCs w:val="20"/>
              </w:rPr>
              <w:t>, pravé šikmé připojení</w:t>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113955" cy="189925"/>
                  <wp:docPr id="100009" name="" descr="sbcr2025c205z0205o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113955" cy="189925"/>
                          </a:xfrm>
                          <a:prstGeom prst="rect">
                            <a:avLst/>
                          </a:prstGeom>
                        </pic:spPr>
                      </pic:pic>
                    </a:graphicData>
                  </a:graphic>
                </wp:inline>
              </w:drawing>
            </w:r>
          </w:p>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sz w:val="20"/>
                <w:szCs w:val="20"/>
              </w:rPr>
              <w:t>nebo jejich kombinace. V případě složitější křižovatky nebo křižovatky, kde hlavní pozemní komunikace neprobíhá v přímém směru, se pod touto značkou použije příslušná dodatková tabulka s vyznačením tvaru křižovatky.</w:t>
            </w:r>
          </w:p>
        </w:tc>
      </w:tr>
    </w:tbl>
    <w:p w:rsidR="00A77B3E">
      <w:pPr>
        <w:pStyle w:val="17"/>
      </w:pPr>
      <w:r>
        <w:t>“.</w:t>
      </w:r>
    </w:p>
    <w:p w:rsidR="00A77B3E">
      <w:pPr>
        <w:pStyle w:val="15"/>
      </w:pPr>
      <w:r>
        <w:t>8.</w:t>
      </w:r>
      <w:r>
        <w:t>    V příloze č. 3 položka č. B 4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423"/>
        <w:gridCol w:w="1971"/>
        <w:gridCol w:w="8546"/>
      </w:tblGrid>
      <w:tr>
        <w:tblPrEx>
          <w:tblW w:w="11980" w:type="dxa"/>
          <w:tblInd w:w="162" w:type="dxa"/>
          <w:tblLook w:val="05E0"/>
        </w:tblPrEx>
        <w:trPr>
          <w:trHeight w:val="360"/>
          <w:tblHeader w:val="0"/>
        </w:trPr>
        <w:tc>
          <w:tcPr>
            <w:tcW w:w="15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 4</w:t>
            </w:r>
          </w:p>
        </w:tc>
        <w:tc>
          <w:tcPr>
            <w:tcW w:w="1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44647" cy="444647"/>
                  <wp:docPr id="100011" name="" descr="sbcr2025c205z0205o0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444647" cy="444647"/>
                          </a:xfrm>
                          <a:prstGeom prst="rect">
                            <a:avLst/>
                          </a:prstGeom>
                        </pic:spPr>
                      </pic:pic>
                    </a:graphicData>
                  </a:graphic>
                </wp:inline>
              </w:drawing>
            </w:r>
          </w:p>
        </w:tc>
        <w:tc>
          <w:tcPr>
            <w:tcW w:w="475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Zákaz vjezdu nákladních automobilů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zakazuje vjezd nákladním automobilům a vozidlům zvláštního určení. Značka rovněž zakazuje vjezd traktorům, jejichž největší povolená hmotnost převyšuje 3500 kg a jejichž konstrukční rychlost je 80 km.h</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nebo více. Značka neplatí pro obytné automobily.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Je-li na dodatkové tabulce nebo na značce pod symbolem nákladního automobilu uvedena hodnota největší povolené hmotnosti, platí značka pro vozidla o největší povolené hmotnosti převyšující tuto hodnotu. U jízdní soupravy je rozhodný součet největších povolených hmotností všech vozidel soupravy.</w:t>
            </w: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44647" cy="444647"/>
                  <wp:docPr id="100013" name="" descr="sbcr2025c205z0205o0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444647" cy="444647"/>
                          </a:xfrm>
                          <a:prstGeom prst="rect">
                            <a:avLst/>
                          </a:prstGeom>
                        </pic:spPr>
                      </pic:pic>
                    </a:graphicData>
                  </a:graphic>
                </wp:inline>
              </w:drawing>
            </w:r>
          </w:p>
        </w:tc>
      </w:tr>
    </w:tbl>
    <w:p w:rsidR="00A77B3E">
      <w:pPr>
        <w:pStyle w:val="17"/>
      </w:pPr>
      <w:r>
        <w:t>“.</w:t>
      </w:r>
    </w:p>
    <w:p w:rsidR="00A77B3E">
      <w:pPr>
        <w:pStyle w:val="15"/>
      </w:pPr>
      <w:r>
        <w:t>9.</w:t>
      </w:r>
      <w:r>
        <w:t>    V příloze č. 3 položka č. B 21a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90"/>
        <w:gridCol w:w="1954"/>
        <w:gridCol w:w="8397"/>
      </w:tblGrid>
      <w:tr>
        <w:tblPrEx>
          <w:tblW w:w="11980" w:type="dxa"/>
          <w:tblInd w:w="162" w:type="dxa"/>
          <w:tblLook w:val="05E0"/>
        </w:tblPrEx>
        <w:trPr>
          <w:trHeight w:val="360"/>
          <w:tblHeader w:val="0"/>
        </w:trPr>
        <w:tc>
          <w:tcPr>
            <w:tcW w:w="30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 21a</w:t>
            </w:r>
          </w:p>
        </w:tc>
        <w:tc>
          <w:tcPr>
            <w:tcW w:w="1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33475" cy="431566"/>
                  <wp:docPr id="100015" name="" descr="sbcr2025c205z0205o0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433475" cy="431566"/>
                          </a:xfrm>
                          <a:prstGeom prst="rect">
                            <a:avLst/>
                          </a:prstGeom>
                        </pic:spPr>
                      </pic:pic>
                    </a:graphicData>
                  </a:graphic>
                </wp:inline>
              </w:drawing>
            </w:r>
          </w:p>
        </w:tc>
        <w:tc>
          <w:tcPr>
            <w:tcW w:w="47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Zákaz předjíždění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zakazuje řidiči předjíždět motorové vozidlo vlevo s výjimkou motocyklů bez postranního vozíku.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Je-li značka umístěna nad vozovkou, platí pro celou šířku vozovky v daném směru jízdy.</w:t>
            </w:r>
          </w:p>
        </w:tc>
      </w:tr>
    </w:tbl>
    <w:p w:rsidR="00A77B3E">
      <w:pPr>
        <w:pStyle w:val="17"/>
      </w:pPr>
      <w:r>
        <w:t>“.</w:t>
      </w:r>
    </w:p>
    <w:p w:rsidR="00A77B3E">
      <w:pPr>
        <w:pStyle w:val="15"/>
      </w:pPr>
      <w:r>
        <w:t>10.</w:t>
      </w:r>
      <w:r>
        <w:t>    V příloze č. 3 položka č. B 22a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90"/>
        <w:gridCol w:w="2006"/>
        <w:gridCol w:w="8344"/>
      </w:tblGrid>
      <w:tr>
        <w:tblPrEx>
          <w:tblW w:w="11980" w:type="dxa"/>
          <w:tblInd w:w="162" w:type="dxa"/>
          <w:tblLook w:val="05E0"/>
        </w:tblPrEx>
        <w:trPr>
          <w:trHeight w:val="360"/>
          <w:tblHeader w:val="0"/>
        </w:trPr>
        <w:tc>
          <w:tcPr>
            <w:tcW w:w="25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 22a</w:t>
            </w:r>
          </w:p>
        </w:tc>
        <w:tc>
          <w:tcPr>
            <w:tcW w:w="1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66991" cy="466991"/>
                  <wp:docPr id="100017" name="" descr="sbcr2025c205z0205o0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
                          <a:stretch>
                            <a:fillRect/>
                          </a:stretch>
                        </pic:blipFill>
                        <pic:spPr>
                          <a:xfrm>
                            <a:off x="0" y="0"/>
                            <a:ext cx="466991" cy="466991"/>
                          </a:xfrm>
                          <a:prstGeom prst="rect">
                            <a:avLst/>
                          </a:prstGeom>
                        </pic:spPr>
                      </pic:pic>
                    </a:graphicData>
                  </a:graphic>
                </wp:inline>
              </w:drawing>
            </w:r>
          </w:p>
        </w:tc>
        <w:tc>
          <w:tcPr>
            <w:tcW w:w="47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Zákaz předjíždění pro nákladní automobily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zakazuje řidiči nákladního automobilu o největší povolené hmotnosti převyšující 3500 kg nebo traktoru, jehož největší povolená hmotnost převyšuje 3500 kg a jehož konstrukční rychlost je 80 km.h</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nebo více, předjíždět motorové vozidlo vlevo.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Na vozovce se dvěma a více jízdními pruhy v jednom směru jízdy nesmí řidič nákladního automobilu o největší povolené hmotnosti převyšující 3500 kg nebo traktoru, jehož největší povolená hmotnost převyšuje 3500 kg a jehož konstrukční rychlost je 80 km.h</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 nebo více, užít k jízdě jiného než pravého jízdního pruhu, není-li to nutné k objíždění.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Je-li značka umístěna nad vozovkou, platí pro celou šířku vozovky v daném směru jízdy.</w:t>
            </w:r>
          </w:p>
        </w:tc>
      </w:tr>
    </w:tbl>
    <w:p w:rsidR="00A77B3E">
      <w:pPr>
        <w:pStyle w:val="17"/>
      </w:pPr>
      <w:r>
        <w:t>“.</w:t>
      </w:r>
    </w:p>
    <w:p w:rsidR="00A77B3E">
      <w:pPr>
        <w:pStyle w:val="15"/>
      </w:pPr>
      <w:r>
        <w:t>11.</w:t>
      </w:r>
      <w:r>
        <w:t>    V příloze č. 4 položka č. C 7a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490"/>
        <w:gridCol w:w="2006"/>
        <w:gridCol w:w="8444"/>
      </w:tblGrid>
      <w:tr>
        <w:tblPrEx>
          <w:tblW w:w="11980" w:type="dxa"/>
          <w:tblInd w:w="162" w:type="dxa"/>
          <w:tblLook w:val="05E0"/>
        </w:tblPrEx>
        <w:trPr>
          <w:trHeight w:val="360"/>
          <w:tblHeader w:val="0"/>
        </w:trPr>
        <w:tc>
          <w:tcPr>
            <w:tcW w:w="20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 7a</w:t>
            </w:r>
          </w:p>
        </w:tc>
        <w:tc>
          <w:tcPr>
            <w:tcW w:w="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66991" cy="455508"/>
                  <wp:docPr id="100019" name="" descr="sbcr2025c205z0205o0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3"/>
                          <a:stretch>
                            <a:fillRect/>
                          </a:stretch>
                        </pic:blipFill>
                        <pic:spPr>
                          <a:xfrm>
                            <a:off x="0" y="0"/>
                            <a:ext cx="466991" cy="455508"/>
                          </a:xfrm>
                          <a:prstGeom prst="rect">
                            <a:avLst/>
                          </a:prstGeom>
                        </pic:spPr>
                      </pic:pic>
                    </a:graphicData>
                  </a:graphic>
                </wp:inline>
              </w:drawing>
            </w:r>
          </w:p>
        </w:tc>
        <w:tc>
          <w:tcPr>
            <w:tcW w:w="44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Stezka pro chodce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stezku pro chodce.</w:t>
            </w:r>
          </w:p>
        </w:tc>
      </w:tr>
    </w:tbl>
    <w:p w:rsidR="00A77B3E">
      <w:pPr>
        <w:pStyle w:val="17"/>
      </w:pPr>
      <w:r>
        <w:t>“.</w:t>
      </w:r>
    </w:p>
    <w:p w:rsidR="00A77B3E">
      <w:pPr>
        <w:pStyle w:val="15"/>
      </w:pPr>
      <w:r>
        <w:t>12.</w:t>
      </w:r>
      <w:r>
        <w:t>    V příloze č. 4 položka č. C 8a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490"/>
        <w:gridCol w:w="2006"/>
        <w:gridCol w:w="8444"/>
      </w:tblGrid>
      <w:tr>
        <w:tblPrEx>
          <w:tblW w:w="11980" w:type="dxa"/>
          <w:tblInd w:w="162" w:type="dxa"/>
          <w:tblLook w:val="05E0"/>
        </w:tblPrEx>
        <w:trPr>
          <w:trHeight w:val="360"/>
          <w:tblHeader w:val="0"/>
        </w:trPr>
        <w:tc>
          <w:tcPr>
            <w:tcW w:w="20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 8a</w:t>
            </w:r>
          </w:p>
        </w:tc>
        <w:tc>
          <w:tcPr>
            <w:tcW w:w="20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66991" cy="466991"/>
                  <wp:docPr id="100021" name="" descr="sbcr2025c205z0205o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4"/>
                          <a:stretch>
                            <a:fillRect/>
                          </a:stretch>
                        </pic:blipFill>
                        <pic:spPr>
                          <a:xfrm>
                            <a:off x="0" y="0"/>
                            <a:ext cx="466991" cy="466991"/>
                          </a:xfrm>
                          <a:prstGeom prst="rect">
                            <a:avLst/>
                          </a:prstGeom>
                        </pic:spPr>
                      </pic:pic>
                    </a:graphicData>
                  </a:graphic>
                </wp:inline>
              </w:drawing>
            </w:r>
          </w:p>
        </w:tc>
        <w:tc>
          <w:tcPr>
            <w:tcW w:w="44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Stezka pro cyklisty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stezku pro cyklisty.</w:t>
            </w:r>
          </w:p>
        </w:tc>
      </w:tr>
    </w:tbl>
    <w:p w:rsidR="00A77B3E">
      <w:pPr>
        <w:pStyle w:val="17"/>
      </w:pPr>
      <w:r>
        <w:t>“.</w:t>
      </w:r>
    </w:p>
    <w:p w:rsidR="00A77B3E">
      <w:pPr>
        <w:pStyle w:val="15"/>
      </w:pPr>
      <w:r>
        <w:t>13.</w:t>
      </w:r>
      <w:r>
        <w:t>    V příloze č. 4 položka č. C 9a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490"/>
        <w:gridCol w:w="2003"/>
        <w:gridCol w:w="8448"/>
      </w:tblGrid>
      <w:tr>
        <w:tblPrEx>
          <w:tblW w:w="11980" w:type="dxa"/>
          <w:tblInd w:w="162" w:type="dxa"/>
          <w:tblLook w:val="05E0"/>
        </w:tblPrEx>
        <w:trPr>
          <w:trHeight w:val="360"/>
          <w:tblHeader w:val="0"/>
        </w:trPr>
        <w:tc>
          <w:tcPr>
            <w:tcW w:w="20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 9a</w:t>
            </w:r>
          </w:p>
        </w:tc>
        <w:tc>
          <w:tcPr>
            <w:tcW w:w="20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64757" cy="464757"/>
                  <wp:docPr id="100023" name="" descr="sbcr2025c205z0205o0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5"/>
                          <a:stretch>
                            <a:fillRect/>
                          </a:stretch>
                        </pic:blipFill>
                        <pic:spPr>
                          <a:xfrm>
                            <a:off x="0" y="0"/>
                            <a:ext cx="464757" cy="464757"/>
                          </a:xfrm>
                          <a:prstGeom prst="rect">
                            <a:avLst/>
                          </a:prstGeom>
                        </pic:spPr>
                      </pic:pic>
                    </a:graphicData>
                  </a:graphic>
                </wp:inline>
              </w:drawing>
            </w:r>
          </w:p>
        </w:tc>
        <w:tc>
          <w:tcPr>
            <w:tcW w:w="36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Stezka pro chodce a cyklisty společná</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stezku pro chodce a cyklisty, na které není oddělen pruh pro chodce a pruh pro cyklisty.</w:t>
            </w:r>
          </w:p>
        </w:tc>
      </w:tr>
    </w:tbl>
    <w:p w:rsidR="00A77B3E">
      <w:pPr>
        <w:pStyle w:val="17"/>
      </w:pPr>
      <w:r>
        <w:t>“.</w:t>
      </w:r>
    </w:p>
    <w:p w:rsidR="00A77B3E">
      <w:pPr>
        <w:pStyle w:val="15"/>
      </w:pPr>
      <w:r>
        <w:t>14.</w:t>
      </w:r>
      <w:r>
        <w:t>    V příloze č. 4 položka č. C 10a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90"/>
        <w:gridCol w:w="2248"/>
        <w:gridCol w:w="8102"/>
      </w:tblGrid>
      <w:tr>
        <w:tblPrEx>
          <w:tblW w:w="11980" w:type="dxa"/>
          <w:tblInd w:w="162" w:type="dxa"/>
          <w:tblLook w:val="05E0"/>
        </w:tblPrEx>
        <w:trPr>
          <w:trHeight w:val="360"/>
          <w:tblHeader w:val="0"/>
        </w:trPr>
        <w:tc>
          <w:tcPr>
            <w:tcW w:w="45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 10a</w:t>
            </w:r>
          </w:p>
        </w:tc>
        <w:tc>
          <w:tcPr>
            <w:tcW w:w="9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64757" cy="466670"/>
                  <wp:docPr id="100025" name="" descr="sbcr2025c205z0205o0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6"/>
                          <a:stretch>
                            <a:fillRect/>
                          </a:stretch>
                        </pic:blipFill>
                        <pic:spPr>
                          <a:xfrm>
                            <a:off x="0" y="0"/>
                            <a:ext cx="464757" cy="466670"/>
                          </a:xfrm>
                          <a:prstGeom prst="rect">
                            <a:avLst/>
                          </a:prstGeom>
                        </pic:spPr>
                      </pic:pic>
                    </a:graphicData>
                  </a:graphic>
                </wp:inline>
              </w:drawing>
            </w:r>
          </w:p>
        </w:tc>
        <w:tc>
          <w:tcPr>
            <w:tcW w:w="36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Stezka pro chodce a cyklisty dělená</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stezku pro chodce a cyklisty, na které je oddělen pruh pro chodce a pruh pro cyklisty. Umístění symbolů vyjadřuje skutečné uspořádání pruhů pro chodce a pro cyklisty.</w:t>
            </w:r>
          </w:p>
        </w:tc>
      </w:tr>
    </w:tbl>
    <w:p w:rsidR="00A77B3E">
      <w:pPr>
        <w:pStyle w:val="17"/>
      </w:pPr>
      <w:r>
        <w:t>“.</w:t>
      </w:r>
    </w:p>
    <w:p w:rsidR="00A77B3E">
      <w:pPr>
        <w:pStyle w:val="15"/>
      </w:pPr>
      <w:r>
        <w:t>15.</w:t>
      </w:r>
      <w:r>
        <w:t>    V příloze č. 4 položka č. C 11a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90"/>
        <w:gridCol w:w="2003"/>
        <w:gridCol w:w="8348"/>
      </w:tblGrid>
      <w:tr>
        <w:tblPrEx>
          <w:tblW w:w="11980" w:type="dxa"/>
          <w:tblInd w:w="162" w:type="dxa"/>
          <w:tblLook w:val="05E0"/>
        </w:tblPrEx>
        <w:trPr>
          <w:trHeight w:val="360"/>
          <w:tblHeader w:val="0"/>
        </w:trPr>
        <w:tc>
          <w:tcPr>
            <w:tcW w:w="30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 11a</w:t>
            </w:r>
          </w:p>
        </w:tc>
        <w:tc>
          <w:tcPr>
            <w:tcW w:w="20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64757" cy="466670"/>
                  <wp:docPr id="100027" name="" descr="sbcr2025c205z0205o0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7"/>
                          <a:stretch>
                            <a:fillRect/>
                          </a:stretch>
                        </pic:blipFill>
                        <pic:spPr>
                          <a:xfrm>
                            <a:off x="0" y="0"/>
                            <a:ext cx="464757" cy="466670"/>
                          </a:xfrm>
                          <a:prstGeom prst="rect">
                            <a:avLst/>
                          </a:prstGeom>
                        </pic:spPr>
                      </pic:pic>
                    </a:graphicData>
                  </a:graphic>
                </wp:inline>
              </w:drawing>
            </w:r>
          </w:p>
        </w:tc>
        <w:tc>
          <w:tcPr>
            <w:tcW w:w="36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Stezka pro jezdce na zvířeti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stezku pro jezdce na zvířeti.</w:t>
            </w:r>
          </w:p>
        </w:tc>
      </w:tr>
    </w:tbl>
    <w:p w:rsidR="00A77B3E">
      <w:pPr>
        <w:pStyle w:val="17"/>
      </w:pPr>
      <w:r>
        <w:t>“.</w:t>
      </w:r>
    </w:p>
    <w:p w:rsidR="00A77B3E">
      <w:pPr>
        <w:pStyle w:val="15"/>
      </w:pPr>
      <w:r>
        <w:t>16.</w:t>
      </w:r>
      <w:r>
        <w:t>    V příloze č. 5 položky č. IZ 7a a č. IZ 7b znějí: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01"/>
        <w:gridCol w:w="1954"/>
        <w:gridCol w:w="8486"/>
      </w:tblGrid>
      <w:tr>
        <w:tblPrEx>
          <w:tblW w:w="11980" w:type="dxa"/>
          <w:tblInd w:w="162" w:type="dxa"/>
          <w:tblLook w:val="05E0"/>
        </w:tblPrEx>
        <w:trPr>
          <w:trHeight w:val="360"/>
          <w:tblHeader w:val="0"/>
        </w:trPr>
        <w:tc>
          <w:tcPr>
            <w:tcW w:w="250" w:type="pct"/>
            <w:tcBorders>
              <w:top w:val="single" w:sz="8"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IZ 7a</w:t>
            </w:r>
          </w:p>
        </w:tc>
        <w:tc>
          <w:tcPr>
            <w:tcW w:w="150" w:type="pct"/>
            <w:tcBorders>
              <w:top w:val="single" w:sz="8"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33475" cy="654987"/>
                  <wp:docPr id="100029" name="" descr="sbcr2025c205z0205o0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8"/>
                          <a:stretch>
                            <a:fillRect/>
                          </a:stretch>
                        </pic:blipFill>
                        <pic:spPr>
                          <a:xfrm>
                            <a:off x="0" y="0"/>
                            <a:ext cx="433475" cy="654987"/>
                          </a:xfrm>
                          <a:prstGeom prst="rect">
                            <a:avLst/>
                          </a:prstGeom>
                        </pic:spPr>
                      </pic:pic>
                    </a:graphicData>
                  </a:graphic>
                </wp:inline>
              </w:drawing>
            </w:r>
          </w:p>
        </w:tc>
        <w:tc>
          <w:tcPr>
            <w:tcW w:w="4700" w:type="pct"/>
            <w:tcBorders>
              <w:top w:val="single" w:sz="8"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Nízkoemisní zóna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oblast, ve které je stanovena nízkoemisní zóna podle zvláštního právního předpisu. V této oblasti je omezen provoz silničních motorových vozidel za účelem omezení znečištění ovzduší z dopravy.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Ve spodní části značky se uvede odkaz na informační systém nízkoemisních zón podle zvláštního právního předpisu.</w:t>
            </w:r>
          </w:p>
        </w:tc>
      </w:tr>
      <w:tr>
        <w:tblPrEx>
          <w:tblW w:w="11980" w:type="dxa"/>
          <w:tblInd w:w="16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IZ 7b</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33475" cy="643529"/>
                  <wp:docPr id="100031" name="" descr="sbcr2025c205z0205o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9"/>
                          <a:stretch>
                            <a:fillRect/>
                          </a:stretch>
                        </pic:blipFill>
                        <pic:spPr>
                          <a:xfrm>
                            <a:off x="0" y="0"/>
                            <a:ext cx="433475" cy="643529"/>
                          </a:xfrm>
                          <a:prstGeom prst="rect">
                            <a:avLst/>
                          </a:prstGeom>
                        </pic:spPr>
                      </pic:pic>
                    </a:graphicData>
                  </a:graphic>
                </wp:inline>
              </w:drawing>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Konec nízkoemisní zóny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konec nízkoemisní zóny.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Ve spodní části značky se uvede odkaz na informační systém nízkoemisních zón podle zvláštního právního předpisu.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může být při výjezdu z nízkoemisní zóny umístěna i jen po levé straně vozovky z opačné strany značky „Nízkoemisní zóna“.</w:t>
            </w:r>
          </w:p>
        </w:tc>
      </w:tr>
    </w:tbl>
    <w:p w:rsidR="00A77B3E">
      <w:pPr>
        <w:pStyle w:val="17"/>
      </w:pPr>
      <w:r>
        <w:t>“.</w:t>
      </w:r>
    </w:p>
    <w:p w:rsidR="00A77B3E">
      <w:pPr>
        <w:pStyle w:val="15"/>
      </w:pPr>
      <w:r>
        <w:t>17.</w:t>
      </w:r>
      <w:r>
        <w:t>    V příloze č. 5 se za položku č. IP 4b vkládá nová položka č. IP 4c, která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490"/>
        <w:gridCol w:w="1785"/>
        <w:gridCol w:w="8666"/>
      </w:tblGrid>
      <w:tr>
        <w:tblPrEx>
          <w:tblW w:w="11980" w:type="dxa"/>
          <w:tblInd w:w="162" w:type="dxa"/>
          <w:tblLook w:val="05E0"/>
        </w:tblPrEx>
        <w:trPr>
          <w:trHeight w:val="360"/>
          <w:tblHeader w:val="0"/>
        </w:trPr>
        <w:tc>
          <w:tcPr>
            <w:tcW w:w="30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IP 4c</w:t>
            </w:r>
          </w:p>
        </w:tc>
        <w:tc>
          <w:tcPr>
            <w:tcW w:w="20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26224" cy="326224"/>
                  <wp:docPr id="100033" name="" descr="sbcr2025c205z0205o0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0"/>
                          <a:stretch>
                            <a:fillRect/>
                          </a:stretch>
                        </pic:blipFill>
                        <pic:spPr>
                          <a:xfrm>
                            <a:off x="0" y="0"/>
                            <a:ext cx="326224" cy="326224"/>
                          </a:xfrm>
                          <a:prstGeom prst="rect">
                            <a:avLst/>
                          </a:prstGeom>
                        </pic:spPr>
                      </pic:pic>
                    </a:graphicData>
                  </a:graphic>
                </wp:inline>
              </w:drawing>
            </w:r>
          </w:p>
        </w:tc>
        <w:tc>
          <w:tcPr>
            <w:tcW w:w="465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Jednosměrný provoz s povoleným provozem cyklistů v protisměru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směr jízdy vozidel na jednosměrné pozemní komunikaci a označuje povolení vjezdu cyklistů v protisměru.</w:t>
            </w:r>
          </w:p>
        </w:tc>
      </w:tr>
    </w:tbl>
    <w:p w:rsidR="00A77B3E">
      <w:pPr>
        <w:pStyle w:val="17"/>
      </w:pPr>
      <w:r>
        <w:t>“.</w:t>
      </w:r>
    </w:p>
    <w:p w:rsidR="00A77B3E">
      <w:pPr>
        <w:pStyle w:val="15"/>
      </w:pPr>
      <w:r>
        <w:t>18.</w:t>
      </w:r>
      <w:r>
        <w:t>    V příloze č. 5 položka č. IP 10a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90"/>
        <w:gridCol w:w="1767"/>
        <w:gridCol w:w="8583"/>
      </w:tblGrid>
      <w:tr>
        <w:tblPrEx>
          <w:tblW w:w="11980" w:type="dxa"/>
          <w:tblInd w:w="162" w:type="dxa"/>
          <w:tblLook w:val="05E0"/>
        </w:tblPrEx>
        <w:trPr>
          <w:trHeight w:val="360"/>
          <w:tblHeader w:val="0"/>
        </w:trPr>
        <w:tc>
          <w:tcPr>
            <w:tcW w:w="25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IP 10a</w:t>
            </w:r>
          </w:p>
        </w:tc>
        <w:tc>
          <w:tcPr>
            <w:tcW w:w="1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15052" cy="326508"/>
                  <wp:docPr id="100035" name="" descr="sbcr2025c205z0205o0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1"/>
                          <a:stretch>
                            <a:fillRect/>
                          </a:stretch>
                        </pic:blipFill>
                        <pic:spPr>
                          <a:xfrm>
                            <a:off x="0" y="0"/>
                            <a:ext cx="315052" cy="326508"/>
                          </a:xfrm>
                          <a:prstGeom prst="rect">
                            <a:avLst/>
                          </a:prstGeom>
                        </pic:spPr>
                      </pic:pic>
                    </a:graphicData>
                  </a:graphic>
                </wp:inline>
              </w:drawing>
            </w:r>
          </w:p>
        </w:tc>
        <w:tc>
          <w:tcPr>
            <w:tcW w:w="455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bottom"/>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Slepá pozemní komunikace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pozemní komunikaci, která dále končí nebo po které nelze dále pokračovat v jízdě.</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Značku lze užít také pro označení pozemní komunikace, po které nelze dále pokračovat v jízdě s výjimkou cyklistů.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17286" cy="326843"/>
                  <wp:docPr id="100037" name="" descr="sbcr2025c205z0205o0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2"/>
                          <a:stretch>
                            <a:fillRect/>
                          </a:stretch>
                        </pic:blipFill>
                        <pic:spPr>
                          <a:xfrm>
                            <a:off x="0" y="0"/>
                            <a:ext cx="317286" cy="326843"/>
                          </a:xfrm>
                          <a:prstGeom prst="rect">
                            <a:avLst/>
                          </a:prstGeom>
                        </pic:spPr>
                      </pic:pic>
                    </a:graphicData>
                  </a:graphic>
                </wp:inline>
              </w:drawing>
            </w:r>
          </w:p>
        </w:tc>
      </w:tr>
    </w:tbl>
    <w:p w:rsidR="00A77B3E">
      <w:pPr>
        <w:pStyle w:val="17"/>
      </w:pPr>
      <w:r>
        <w:t>“.</w:t>
      </w:r>
    </w:p>
    <w:p w:rsidR="00A77B3E">
      <w:pPr>
        <w:pStyle w:val="15"/>
      </w:pPr>
      <w:r>
        <w:t>19.</w:t>
      </w:r>
      <w:r>
        <w:t>    V příloze č. 5 položka č. IP 10b zní:</w:t>
      </w:r>
    </w:p>
    <w:p w:rsidR="00A77B3E">
      <w:pPr>
        <w:pStyle w:val="11"/>
      </w:pPr>
    </w:p>
    <w:p w:rsidR="00A77B3E">
      <w:pPr>
        <w:pStyle w:val="17"/>
      </w:pPr>
      <w:r>
        <w:t xml:space="preserve">„ </w:t>
      </w:r>
    </w:p>
    <w:tbl>
      <w:tblPr>
        <w:tblStyle w:val="TABLEXPouzeNaPrvniStranezahlavi"/>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601"/>
        <w:gridCol w:w="1809"/>
        <w:gridCol w:w="5794"/>
      </w:tblGrid>
      <w:tr>
        <w:tblPrEx>
          <w:tblInd w:w="162" w:type="dxa"/>
          <w:tblLook w:val="05E0"/>
        </w:tblPrEx>
        <w:trPr>
          <w:trHeight w:val="360"/>
          <w:tblHeader w:val="0"/>
        </w:trPr>
        <w:tc>
          <w:tcPr>
            <w:tcW w:w="25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IP 10b</w:t>
            </w:r>
          </w:p>
        </w:tc>
        <w:tc>
          <w:tcPr>
            <w:tcW w:w="1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41865" cy="341865"/>
                  <wp:docPr id="100039" name="" descr="sbcr2025c205z0205o0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3"/>
                          <a:stretch>
                            <a:fillRect/>
                          </a:stretch>
                        </pic:blipFill>
                        <pic:spPr>
                          <a:xfrm>
                            <a:off x="0" y="0"/>
                            <a:ext cx="341865" cy="341865"/>
                          </a:xfrm>
                          <a:prstGeom prst="rect">
                            <a:avLst/>
                          </a:prstGeom>
                        </pic:spPr>
                      </pic:pic>
                    </a:graphicData>
                  </a:graphic>
                </wp:inline>
              </w:drawing>
            </w:r>
          </w:p>
        </w:tc>
        <w:tc>
          <w:tcPr>
            <w:tcW w:w="46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Návěst před slepou pozemní komunikací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návěst před pozemní komunikací, která dále končí nebo po které nelze dále pokračovat v jízdě.</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Značku lze užít také jako návěst před pozemní komunikací, po které nelze dále pokračovat v jízdě s výjimkou cyklistů.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41865" cy="330405"/>
                  <wp:docPr id="100041" name="" descr="sbcr2025c205z0205o0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4"/>
                          <a:stretch>
                            <a:fillRect/>
                          </a:stretch>
                        </pic:blipFill>
                        <pic:spPr>
                          <a:xfrm>
                            <a:off x="0" y="0"/>
                            <a:ext cx="341865" cy="330405"/>
                          </a:xfrm>
                          <a:prstGeom prst="rect">
                            <a:avLst/>
                          </a:prstGeom>
                        </pic:spPr>
                      </pic:pic>
                    </a:graphicData>
                  </a:graphic>
                </wp:inline>
              </w:drawing>
            </w:r>
          </w:p>
        </w:tc>
      </w:tr>
    </w:tbl>
    <w:p w:rsidR="00A77B3E">
      <w:pPr>
        <w:pStyle w:val="17"/>
      </w:pPr>
      <w:r>
        <w:t>“.</w:t>
      </w:r>
    </w:p>
    <w:p w:rsidR="00A77B3E">
      <w:pPr>
        <w:pStyle w:val="15"/>
      </w:pPr>
      <w:r>
        <w:t>20.</w:t>
      </w:r>
      <w:r>
        <w:t>    V příloze č. 5 položka č. IP 12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490"/>
        <w:gridCol w:w="1802"/>
        <w:gridCol w:w="8648"/>
      </w:tblGrid>
      <w:tr>
        <w:tblPrEx>
          <w:tblW w:w="11980" w:type="dxa"/>
          <w:tblInd w:w="162" w:type="dxa"/>
          <w:tblLook w:val="05E0"/>
        </w:tblPrEx>
        <w:trPr>
          <w:trHeight w:val="360"/>
          <w:tblHeader w:val="0"/>
        </w:trPr>
        <w:tc>
          <w:tcPr>
            <w:tcW w:w="30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IP 12</w:t>
            </w:r>
          </w:p>
        </w:tc>
        <w:tc>
          <w:tcPr>
            <w:tcW w:w="1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37396" cy="472735"/>
                  <wp:docPr id="100043" name="" descr="sbcr2025c205z0205o0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5"/>
                          <a:stretch>
                            <a:fillRect/>
                          </a:stretch>
                        </pic:blipFill>
                        <pic:spPr>
                          <a:xfrm>
                            <a:off x="0" y="0"/>
                            <a:ext cx="337396" cy="472735"/>
                          </a:xfrm>
                          <a:prstGeom prst="rect">
                            <a:avLst/>
                          </a:prstGeom>
                        </pic:spPr>
                      </pic:pic>
                    </a:graphicData>
                  </a:graphic>
                </wp:inline>
              </w:drawing>
            </w:r>
          </w:p>
        </w:tc>
        <w:tc>
          <w:tcPr>
            <w:tcW w:w="47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Vyhrazené parkoviště</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místo, kde je dovoleno zastavení a stání pouze vozidel, pro které je parkoviště vyhrazeno.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Údaje o tom, pro koho je parkoviště vyhrazeno a popřípadě v jaké době, jsou uvedeny na dodatkové tabulce nebo mohou být uvedeny na značce místo nápisu. Mimo dobu, po kterou je parkoviště vyhrazeno, smějí na takto označeném místě zastavit a stát i řidiči jiných vozidel, pokud není obecnou nebo místní úpravou provozu na pozemních komunikacích stanoveno jinak.</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Případný stanovený způsob stání se vyznačuje obdobně jako na značkách „Parkoviště“ vyznačujících způsob stání. Značka, na které je uveden symbol zařízení nebo prostoru pro osoby na vozíku, je vždy doplněna vodorovnou dopravní značkou „Vyhrazené parkoviště pro vozidlo přepravující osobu těžce postiženou nebo osobu těžce pohybově postiženou“.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se symbolem elektromobilu doplněná dodatkovou tabulkou s textem „POUZE DOBÍJENÍ“ označuje místo vyhrazené pro stání vozidla pouze po dobu dobíjení. Tato značka je vždy doplněna vodorovnou dopravní značkou „Nápis na vozovce“ se symbolem dobíječi stanice.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30692" cy="474056"/>
                  <wp:docPr id="100045" name="" descr="sbcr2025c205z0205o0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26"/>
                          <a:stretch>
                            <a:fillRect/>
                          </a:stretch>
                        </pic:blipFill>
                        <pic:spPr>
                          <a:xfrm>
                            <a:off x="0" y="0"/>
                            <a:ext cx="330692" cy="474056"/>
                          </a:xfrm>
                          <a:prstGeom prst="rect">
                            <a:avLst/>
                          </a:prstGeom>
                        </pic:spPr>
                      </pic:pic>
                    </a:graphicData>
                  </a:graphic>
                </wp:inline>
              </w:drawing>
            </w:r>
          </w:p>
        </w:tc>
      </w:tr>
    </w:tbl>
    <w:p w:rsidR="00A77B3E">
      <w:pPr>
        <w:pStyle w:val="17"/>
      </w:pPr>
      <w:r>
        <w:t>“.</w:t>
      </w:r>
    </w:p>
    <w:p w:rsidR="00A77B3E">
      <w:pPr>
        <w:pStyle w:val="18"/>
      </w:pPr>
      <w:r>
        <w:t>Poznámka pod čarou č. 5 se zrušuje, a to včetně odkazu na poznámku pod čarou.</w:t>
      </w:r>
    </w:p>
    <w:p w:rsidR="00A77B3E">
      <w:pPr>
        <w:pStyle w:val="15"/>
      </w:pPr>
      <w:r>
        <w:t>21.</w:t>
      </w:r>
      <w:r>
        <w:t>    V příloze č. 5 položka č. IP 13c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78"/>
        <w:gridCol w:w="1838"/>
        <w:gridCol w:w="8524"/>
      </w:tblGrid>
      <w:tr>
        <w:tblPrEx>
          <w:tblW w:w="11980" w:type="dxa"/>
          <w:tblInd w:w="162" w:type="dxa"/>
          <w:tblLook w:val="05E0"/>
        </w:tblPrEx>
        <w:trPr>
          <w:trHeight w:val="360"/>
          <w:tblHeader w:val="0"/>
        </w:trPr>
        <w:tc>
          <w:tcPr>
            <w:tcW w:w="25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IP 13c</w:t>
            </w:r>
          </w:p>
        </w:tc>
        <w:tc>
          <w:tcPr>
            <w:tcW w:w="1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9740" cy="499426"/>
                  <wp:docPr id="100047" name="" descr="sbcr2025c205z0205o0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27"/>
                          <a:stretch>
                            <a:fillRect/>
                          </a:stretch>
                        </pic:blipFill>
                        <pic:spPr>
                          <a:xfrm>
                            <a:off x="0" y="0"/>
                            <a:ext cx="359740" cy="499426"/>
                          </a:xfrm>
                          <a:prstGeom prst="rect">
                            <a:avLst/>
                          </a:prstGeom>
                        </pic:spPr>
                      </pic:pic>
                    </a:graphicData>
                  </a:graphic>
                </wp:inline>
              </w:drawing>
            </w:r>
          </w:p>
        </w:tc>
        <w:tc>
          <w:tcPr>
            <w:tcW w:w="460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Parkoviště s parkovacím automatem</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označuje placené parkoviště. Řidič se musí řídit údaji na značce, dodatkové tabulce nebo na parkovacím automatu (hodinách).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Případný stanovený způsob stání se vyznačuje obdobně jako na značkách „Parkoviště“ vyznačujících způsob stání.</w:t>
            </w:r>
          </w:p>
        </w:tc>
      </w:tr>
    </w:tbl>
    <w:p w:rsidR="00A77B3E">
      <w:pPr>
        <w:pStyle w:val="17"/>
      </w:pPr>
      <w:r>
        <w:t>“.</w:t>
      </w:r>
    </w:p>
    <w:p w:rsidR="00A77B3E">
      <w:pPr>
        <w:pStyle w:val="15"/>
      </w:pPr>
      <w:r>
        <w:t>22.</w:t>
      </w:r>
      <w:r>
        <w:t>    V příloze č. 5 položka č. IP 20a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90"/>
        <w:gridCol w:w="2020"/>
        <w:gridCol w:w="8330"/>
      </w:tblGrid>
      <w:tr>
        <w:tblPrEx>
          <w:tblW w:w="11980" w:type="dxa"/>
          <w:tblInd w:w="162" w:type="dxa"/>
          <w:tblLook w:val="05E0"/>
        </w:tblPrEx>
        <w:trPr>
          <w:trHeight w:val="360"/>
          <w:tblHeader w:val="0"/>
        </w:trPr>
        <w:tc>
          <w:tcPr>
            <w:tcW w:w="300" w:type="pct"/>
            <w:vMerge w:val="restart"/>
            <w:tcBorders>
              <w:top w:val="single" w:sz="8" w:space="0" w:color="000000"/>
              <w:bottom w:val="none" w:sz="0" w:space="0" w:color="auto"/>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IP 20a</w:t>
            </w:r>
          </w:p>
        </w:tc>
        <w:tc>
          <w:tcPr>
            <w:tcW w:w="200" w:type="pct"/>
            <w:vMerge w:val="restart"/>
            <w:tcBorders>
              <w:top w:val="single" w:sz="8" w:space="0" w:color="000000"/>
              <w:left w:val="single" w:sz="3" w:space="0" w:color="000000"/>
              <w:bottom w:val="none" w:sz="0" w:space="0" w:color="auto"/>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75929" cy="703381"/>
                  <wp:docPr id="100049" name="" descr="sbcr2025c205z0205o0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28"/>
                          <a:stretch>
                            <a:fillRect/>
                          </a:stretch>
                        </pic:blipFill>
                        <pic:spPr>
                          <a:xfrm>
                            <a:off x="0" y="0"/>
                            <a:ext cx="475929" cy="703381"/>
                          </a:xfrm>
                          <a:prstGeom prst="rect">
                            <a:avLst/>
                          </a:prstGeom>
                        </pic:spPr>
                      </pic:pic>
                    </a:graphicData>
                  </a:graphic>
                </wp:inline>
              </w:drawing>
            </w:r>
          </w:p>
        </w:tc>
        <w:tc>
          <w:tcPr>
            <w:tcW w:w="4750" w:type="pct"/>
            <w:vMerge w:val="restart"/>
            <w:tcBorders>
              <w:top w:val="single" w:sz="8" w:space="0" w:color="000000"/>
              <w:left w:val="single" w:sz="3" w:space="0" w:color="000000"/>
              <w:bottom w:val="none" w:sz="0" w:space="0" w:color="auto"/>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Vyhrazený jízdní pruh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vyznačuje vyhrazený jízdní pruh pro vozidla hromadné dopravy osob a jeho situování ve vztahu k ostatním jízdním pruhům. Vyhrazený jízdní pruh je současně na pozemní komunikaci vyznačen vodorovnými značkami, zejména „Podélná čára souvislá“ nebo „Podélná čára přerušovaná“ a nápisem „BUS“. Ve spodní části značky nebo na dodatkové tabulce lze vyznačit dobu, po kterou je jízdní pruh vyhrazen.</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Na značce lze vyznačit i jízdní pruhy v protisměru.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 případě vyhrazeného jízdního pruhu pro jiný druh vozidla nebo pro určitý účel se do modrého pole vyznačí příslušný symbol nebo vhodný nápis. Je-li v modrém poli uveden nápis TAXI, je vyhrazený jízdní pruh určen pro vozidla taxislužby označená střešní svítilnou s nápisem TAXI.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Umístění vyhrazeného jízdního pruhu pro určitý druh vozidel ve vztahu k ostatním jízdním pruhům lze vyznačit vložením symbolu této dopravní značky do jiné dopravní značky vyznačující počet a uspořádání jízdních pruhů nebo způsob řazení do jízdních pruhů.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614462" cy="467068"/>
                  <wp:docPr id="100051" name="" descr="sbcr2025c205z0205o0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29"/>
                          <a:stretch>
                            <a:fillRect/>
                          </a:stretch>
                        </pic:blipFill>
                        <pic:spPr>
                          <a:xfrm>
                            <a:off x="0" y="0"/>
                            <a:ext cx="614462" cy="467068"/>
                          </a:xfrm>
                          <a:prstGeom prst="rect">
                            <a:avLst/>
                          </a:prstGeom>
                        </pic:spPr>
                      </pic:pic>
                    </a:graphicData>
                  </a:graphic>
                </wp:inline>
              </w:drawing>
            </w:r>
          </w:p>
        </w:tc>
      </w:tr>
      <w:tr>
        <w:tblPrEx>
          <w:tblW w:w="11980" w:type="dxa"/>
          <w:tblInd w:w="162" w:type="dxa"/>
          <w:tblLook w:val="05E0"/>
        </w:tblPrEx>
        <w:trPr>
          <w:trHeight w:val="360"/>
          <w:tblHeader w:val="0"/>
        </w:trPr>
        <w:tc>
          <w:tcPr>
            <w:vMerge/>
            <w:tcBorders>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vMerge/>
            <w:tcBorders>
              <w:left w:val="single" w:sz="3" w:space="0" w:color="000000"/>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vMerge/>
            <w:tcBorders>
              <w:lef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r>
      <w:tr>
        <w:tblPrEx>
          <w:tblW w:w="11980" w:type="dxa"/>
          <w:tblInd w:w="162" w:type="dxa"/>
          <w:tblLook w:val="05E0"/>
        </w:tblPrEx>
        <w:trPr>
          <w:trHeight w:val="360"/>
          <w:tblHeader w:val="0"/>
        </w:trPr>
        <w:tc>
          <w:tcPr>
            <w:vMerge/>
            <w:tcBorders>
              <w:bottom w:val="single" w:sz="8" w:space="0" w:color="000000"/>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vMerge/>
            <w:tcBorders>
              <w:left w:val="single" w:sz="3" w:space="0" w:color="000000"/>
              <w:bottom w:val="single" w:sz="8" w:space="0" w:color="000000"/>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vMerge/>
            <w:tcBorders>
              <w:left w:val="single" w:sz="3" w:space="0" w:color="000000"/>
              <w:bottom w:val="single" w:sz="8"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r>
    </w:tbl>
    <w:p w:rsidR="00A77B3E">
      <w:pPr>
        <w:pStyle w:val="17"/>
      </w:pPr>
      <w:r>
        <w:t>“.</w:t>
      </w:r>
    </w:p>
    <w:p w:rsidR="00A77B3E">
      <w:pPr>
        <w:pStyle w:val="15"/>
      </w:pPr>
      <w:r>
        <w:t>23.</w:t>
      </w:r>
      <w:r>
        <w:t>    V příloze č. 5 se za položku č. IS 11d vkládají nové položky č. IS 12a až IS 12d, které znějí: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601"/>
        <w:gridCol w:w="2130"/>
        <w:gridCol w:w="8210"/>
      </w:tblGrid>
      <w:tr>
        <w:tblPrEx>
          <w:tblW w:w="11980" w:type="dxa"/>
          <w:tblInd w:w="162" w:type="dxa"/>
          <w:tblLook w:val="05E0"/>
        </w:tblPrEx>
        <w:trPr>
          <w:trHeight w:val="360"/>
          <w:tblHeader w:val="0"/>
        </w:trPr>
        <w:tc>
          <w:tcPr>
            <w:tcW w:w="300" w:type="pct"/>
            <w:tcBorders>
              <w:top w:val="single" w:sz="8"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IS 12a</w:t>
            </w:r>
          </w:p>
        </w:tc>
        <w:tc>
          <w:tcPr>
            <w:tcW w:w="300" w:type="pct"/>
            <w:tcBorders>
              <w:top w:val="single" w:sz="8"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75929" cy="225541"/>
                  <wp:docPr id="100053" name="" descr="sbcr2025c205z0205o0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30"/>
                          <a:stretch>
                            <a:fillRect/>
                          </a:stretch>
                        </pic:blipFill>
                        <pic:spPr>
                          <a:xfrm>
                            <a:off x="0" y="0"/>
                            <a:ext cx="475929" cy="225541"/>
                          </a:xfrm>
                          <a:prstGeom prst="rect">
                            <a:avLst/>
                          </a:prstGeom>
                        </pic:spPr>
                      </pic:pic>
                    </a:graphicData>
                  </a:graphic>
                </wp:inline>
              </w:drawing>
            </w:r>
          </w:p>
        </w:tc>
        <w:tc>
          <w:tcPr>
            <w:tcW w:w="4550" w:type="pct"/>
            <w:vMerge w:val="restart"/>
            <w:tcBorders>
              <w:top w:val="single" w:sz="8" w:space="0" w:color="000000"/>
              <w:left w:val="single" w:sz="3" w:space="0" w:color="000000"/>
              <w:bottom w:val="none" w:sz="0" w:space="0" w:color="auto"/>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Směrová tabule pro náhradní trasu dálnice (přímo, vlevo nebo vpravo)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Značky informují o čísle náhradní trasy a označují směr jejího pokračování.</w:t>
            </w:r>
          </w:p>
        </w:tc>
      </w:tr>
      <w:tr>
        <w:tblPrEx>
          <w:tblW w:w="11980" w:type="dxa"/>
          <w:tblInd w:w="16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IS 12b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545196" cy="147298"/>
                  <wp:docPr id="100055" name="" descr="sbcr2025c205z0205o0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31"/>
                          <a:stretch>
                            <a:fillRect/>
                          </a:stretch>
                        </pic:blipFill>
                        <pic:spPr>
                          <a:xfrm>
                            <a:off x="0" y="0"/>
                            <a:ext cx="545196" cy="147298"/>
                          </a:xfrm>
                          <a:prstGeom prst="rect">
                            <a:avLst/>
                          </a:prstGeom>
                        </pic:spPr>
                      </pic:pic>
                    </a:graphicData>
                  </a:graphic>
                </wp:inline>
              </w:drawing>
            </w:r>
          </w:p>
        </w:tc>
        <w:tc>
          <w:tcPr>
            <w:vMerge/>
            <w:tcBorders>
              <w:lef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r>
      <w:tr>
        <w:tblPrEx>
          <w:tblW w:w="11980" w:type="dxa"/>
          <w:tblInd w:w="16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IS 12c</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545196" cy="147298"/>
                  <wp:docPr id="100057" name="" descr="sbcr2025c205z0205o0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xmlns:r="http://schemas.openxmlformats.org/officeDocument/2006/relationships" r:embed="rId32"/>
                          <a:stretch>
                            <a:fillRect/>
                          </a:stretch>
                        </pic:blipFill>
                        <pic:spPr>
                          <a:xfrm>
                            <a:off x="0" y="0"/>
                            <a:ext cx="545196" cy="147298"/>
                          </a:xfrm>
                          <a:prstGeom prst="rect">
                            <a:avLst/>
                          </a:prstGeom>
                        </pic:spPr>
                      </pic:pic>
                    </a:graphicData>
                  </a:graphic>
                </wp:inline>
              </w:drawing>
            </w:r>
          </w:p>
        </w:tc>
        <w:tc>
          <w:tcPr>
            <w:vMerge/>
            <w:tcBorders>
              <w:left w:val="single" w:sz="3" w:space="0" w:color="000000"/>
              <w:bottom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r>
      <w:tr>
        <w:tblPrEx>
          <w:tblW w:w="11980" w:type="dxa"/>
          <w:tblInd w:w="16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IS 12d</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75929" cy="625015"/>
                  <wp:docPr id="100059" name="" descr="sbcr2025c205z0205o0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xmlns:r="http://schemas.openxmlformats.org/officeDocument/2006/relationships" r:embed="rId33"/>
                          <a:stretch>
                            <a:fillRect/>
                          </a:stretch>
                        </pic:blipFill>
                        <pic:spPr>
                          <a:xfrm>
                            <a:off x="0" y="0"/>
                            <a:ext cx="475929" cy="625015"/>
                          </a:xfrm>
                          <a:prstGeom prst="rect">
                            <a:avLst/>
                          </a:prstGeom>
                        </pic:spPr>
                      </pic:pic>
                    </a:graphicData>
                  </a:graphic>
                </wp:inline>
              </w:drawing>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bottom"/>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Náhradní trasa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Značka informuje zpravidla na dálnici o začátku trvale vyznačené náhradní trasy dálnice a jejím čísle. Je-li to v takovém případě účelné, může být na značce uveden také symbol a příslušný cíl dálnice. Pokud je na značce uvedena směrová šipka, lze ji použít také pro vyznačení průběhu náhradní trasy v následující křižovatce.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82084" cy="510082"/>
                  <wp:docPr id="100061" name="" descr="sbcr2025c205z0205o0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xmlns:r="http://schemas.openxmlformats.org/officeDocument/2006/relationships" r:embed="rId34"/>
                          <a:stretch>
                            <a:fillRect/>
                          </a:stretch>
                        </pic:blipFill>
                        <pic:spPr>
                          <a:xfrm>
                            <a:off x="0" y="0"/>
                            <a:ext cx="382084" cy="510082"/>
                          </a:xfrm>
                          <a:prstGeom prst="rect">
                            <a:avLst/>
                          </a:prstGeom>
                        </pic:spPr>
                      </pic:pic>
                    </a:graphicData>
                  </a:graphic>
                </wp:inline>
              </w:drawing>
            </w:r>
          </w:p>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511680" cy="511680"/>
                  <wp:docPr id="100063" name="" descr="sbcr2025c205z0205o0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xmlns:r="http://schemas.openxmlformats.org/officeDocument/2006/relationships" r:embed="rId35"/>
                          <a:stretch>
                            <a:fillRect/>
                          </a:stretch>
                        </pic:blipFill>
                        <pic:spPr>
                          <a:xfrm>
                            <a:off x="0" y="0"/>
                            <a:ext cx="511680" cy="511680"/>
                          </a:xfrm>
                          <a:prstGeom prst="rect">
                            <a:avLst/>
                          </a:prstGeom>
                        </pic:spPr>
                      </pic:pic>
                    </a:graphicData>
                  </a:graphic>
                </wp:inline>
              </w:drawing>
            </w:r>
          </w:p>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02194" cy="511360"/>
                  <wp:docPr id="100065" name="" descr="sbcr2025c205z0205o0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xmlns:r="http://schemas.openxmlformats.org/officeDocument/2006/relationships" r:embed="rId36"/>
                          <a:stretch>
                            <a:fillRect/>
                          </a:stretch>
                        </pic:blipFill>
                        <pic:spPr>
                          <a:xfrm>
                            <a:off x="0" y="0"/>
                            <a:ext cx="402194" cy="511360"/>
                          </a:xfrm>
                          <a:prstGeom prst="rect">
                            <a:avLst/>
                          </a:prstGeom>
                        </pic:spPr>
                      </pic:pic>
                    </a:graphicData>
                  </a:graphic>
                </wp:inline>
              </w:drawing>
            </w:r>
          </w:p>
        </w:tc>
      </w:tr>
    </w:tbl>
    <w:p w:rsidR="00A77B3E">
      <w:pPr>
        <w:pStyle w:val="17"/>
      </w:pPr>
      <w:r>
        <w:t>“.</w:t>
      </w:r>
    </w:p>
    <w:p w:rsidR="00A77B3E">
      <w:pPr>
        <w:pStyle w:val="15"/>
      </w:pPr>
      <w:r>
        <w:t>24.</w:t>
      </w:r>
      <w:r>
        <w:t>    V příloze č. 7 položky č. 404 až 406 znějí: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90"/>
        <w:gridCol w:w="2709"/>
        <w:gridCol w:w="7642"/>
      </w:tblGrid>
      <w:tr>
        <w:tblPrEx>
          <w:tblW w:w="11980" w:type="dxa"/>
          <w:tblInd w:w="162" w:type="dxa"/>
          <w:tblLook w:val="05E0"/>
        </w:tblPrEx>
        <w:trPr>
          <w:trHeight w:val="360"/>
          <w:tblHeader w:val="0"/>
        </w:trPr>
        <w:tc>
          <w:tcPr>
            <w:tcW w:w="300" w:type="pct"/>
            <w:tcBorders>
              <w:top w:val="single" w:sz="8"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404</w:t>
            </w:r>
          </w:p>
        </w:tc>
        <w:tc>
          <w:tcPr>
            <w:tcW w:w="250" w:type="pct"/>
            <w:tcBorders>
              <w:top w:val="single" w:sz="8"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5271" cy="345721"/>
                  <wp:docPr id="100067" name="" descr="sbcr2025c205z0205o0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xmlns:r="http://schemas.openxmlformats.org/officeDocument/2006/relationships" r:embed="rId37"/>
                          <a:stretch>
                            <a:fillRect/>
                          </a:stretch>
                        </pic:blipFill>
                        <pic:spPr>
                          <a:xfrm>
                            <a:off x="0" y="0"/>
                            <a:ext cx="355271" cy="345721"/>
                          </a:xfrm>
                          <a:prstGeom prst="rect">
                            <a:avLst/>
                          </a:prstGeom>
                        </pic:spPr>
                      </pic:pic>
                    </a:graphicData>
                  </a:graphic>
                </wp:inline>
              </w:drawing>
            </w:r>
          </w:p>
        </w:tc>
        <w:tc>
          <w:tcPr>
            <w:tcW w:w="3200" w:type="pct"/>
            <w:tcBorders>
              <w:top w:val="single" w:sz="8"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Čerpací stanice CNG</w:t>
            </w:r>
          </w:p>
        </w:tc>
      </w:tr>
      <w:tr>
        <w:tblPrEx>
          <w:tblW w:w="11980" w:type="dxa"/>
          <w:tblInd w:w="16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405</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5271" cy="357181"/>
                  <wp:docPr id="100069" name="" descr="sbcr2025c205z0205o03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xmlns:r="http://schemas.openxmlformats.org/officeDocument/2006/relationships" r:embed="rId38"/>
                          <a:stretch>
                            <a:fillRect/>
                          </a:stretch>
                        </pic:blipFill>
                        <pic:spPr>
                          <a:xfrm>
                            <a:off x="0" y="0"/>
                            <a:ext cx="355271" cy="357181"/>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Čerpací stanice LPG</w:t>
            </w:r>
          </w:p>
        </w:tc>
      </w:tr>
      <w:tr>
        <w:tblPrEx>
          <w:tblW w:w="11980" w:type="dxa"/>
          <w:tblInd w:w="16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406</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top"/>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270363" cy="356650"/>
                  <wp:docPr id="100071" name="" descr="sbcr2025c205z0205o03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xmlns:r="http://schemas.openxmlformats.org/officeDocument/2006/relationships" r:embed="rId39"/>
                          <a:stretch>
                            <a:fillRect/>
                          </a:stretch>
                        </pic:blipFill>
                        <pic:spPr>
                          <a:xfrm>
                            <a:off x="0" y="0"/>
                            <a:ext cx="270363" cy="356650"/>
                          </a:xfrm>
                          <a:prstGeom prst="rect">
                            <a:avLst/>
                          </a:prstGeom>
                        </pic:spPr>
                      </pic:pic>
                    </a:graphicData>
                  </a:graphic>
                </wp:inline>
              </w:drawing>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Dobíjecí stanice elektromobilů</w:t>
            </w:r>
          </w:p>
        </w:tc>
      </w:tr>
    </w:tbl>
    <w:p w:rsidR="00A77B3E">
      <w:pPr>
        <w:pStyle w:val="17"/>
      </w:pPr>
      <w:r>
        <w:t>“.</w:t>
      </w:r>
    </w:p>
    <w:p w:rsidR="00A77B3E">
      <w:pPr>
        <w:pStyle w:val="15"/>
      </w:pPr>
      <w:r>
        <w:t>25.</w:t>
      </w:r>
      <w:r>
        <w:t>    V příloze č. 7 se doplňují položky č. 408 až 410, které znějí: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590"/>
        <w:gridCol w:w="1830"/>
        <w:gridCol w:w="8520"/>
      </w:tblGrid>
      <w:tr>
        <w:tblPrEx>
          <w:tblW w:w="11980" w:type="dxa"/>
          <w:tblInd w:w="162" w:type="dxa"/>
          <w:tblLook w:val="05E0"/>
        </w:tblPrEx>
        <w:trPr>
          <w:trHeight w:val="360"/>
          <w:tblHeader w:val="0"/>
        </w:trPr>
        <w:tc>
          <w:tcPr>
            <w:tcW w:w="450" w:type="pct"/>
            <w:tcBorders>
              <w:top w:val="single" w:sz="8"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408</w:t>
            </w:r>
          </w:p>
        </w:tc>
        <w:tc>
          <w:tcPr>
            <w:tcW w:w="250" w:type="pct"/>
            <w:tcBorders>
              <w:top w:val="single" w:sz="8"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292708" cy="357754"/>
                  <wp:docPr id="100073" name="" descr="sbcr2025c205z0205o03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xmlns:r="http://schemas.openxmlformats.org/officeDocument/2006/relationships" r:embed="rId40"/>
                          <a:stretch>
                            <a:fillRect/>
                          </a:stretch>
                        </pic:blipFill>
                        <pic:spPr>
                          <a:xfrm>
                            <a:off x="0" y="0"/>
                            <a:ext cx="292708" cy="357754"/>
                          </a:xfrm>
                          <a:prstGeom prst="rect">
                            <a:avLst/>
                          </a:prstGeom>
                        </pic:spPr>
                      </pic:pic>
                    </a:graphicData>
                  </a:graphic>
                </wp:inline>
              </w:drawing>
            </w:r>
          </w:p>
        </w:tc>
        <w:tc>
          <w:tcPr>
            <w:tcW w:w="4050" w:type="pct"/>
            <w:tcBorders>
              <w:top w:val="single" w:sz="8"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Dobíjecí stanice pro nákladní automobily nad 3500 kg nebo autobusy</w:t>
            </w:r>
          </w:p>
        </w:tc>
      </w:tr>
      <w:tr>
        <w:tblPrEx>
          <w:tblW w:w="11980" w:type="dxa"/>
          <w:tblInd w:w="16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409</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bottom"/>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5271" cy="357181"/>
                  <wp:docPr id="100075" name="" descr="sbcr2025c205z0205o03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xmlns:r="http://schemas.openxmlformats.org/officeDocument/2006/relationships" r:embed="rId41"/>
                          <a:stretch>
                            <a:fillRect/>
                          </a:stretch>
                        </pic:blipFill>
                        <pic:spPr>
                          <a:xfrm>
                            <a:off x="0" y="0"/>
                            <a:ext cx="355271" cy="357181"/>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Čerpací stanice vodíku</w:t>
            </w:r>
          </w:p>
        </w:tc>
      </w:tr>
      <w:tr>
        <w:tblPrEx>
          <w:tblW w:w="11980" w:type="dxa"/>
          <w:tblInd w:w="16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410</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5271" cy="364821"/>
                  <wp:docPr id="100077" name="" descr="sbcr2025c205z0205o03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xmlns:r="http://schemas.openxmlformats.org/officeDocument/2006/relationships" r:embed="rId42"/>
                          <a:stretch>
                            <a:fillRect/>
                          </a:stretch>
                        </pic:blipFill>
                        <pic:spPr>
                          <a:xfrm>
                            <a:off x="0" y="0"/>
                            <a:ext cx="355271" cy="364821"/>
                          </a:xfrm>
                          <a:prstGeom prst="rect">
                            <a:avLst/>
                          </a:prstGeom>
                        </pic:spPr>
                      </pic:pic>
                    </a:graphicData>
                  </a:graphic>
                </wp:inline>
              </w:drawing>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Čerpací stanice LNG</w:t>
            </w:r>
          </w:p>
        </w:tc>
      </w:tr>
    </w:tbl>
    <w:p w:rsidR="00A77B3E">
      <w:pPr>
        <w:pStyle w:val="17"/>
      </w:pPr>
      <w:r>
        <w:t>“.</w:t>
      </w:r>
    </w:p>
    <w:p w:rsidR="00A77B3E">
      <w:pPr>
        <w:pStyle w:val="15"/>
      </w:pPr>
      <w:r>
        <w:t>26.</w:t>
      </w:r>
      <w:r>
        <w:t>    V příloze č. 9 položky č. S 1 až S 14b znějí:</w:t>
      </w:r>
    </w:p>
    <w:p w:rsidR="00A77B3E">
      <w:pPr>
        <w:pStyle w:val="11"/>
      </w:pPr>
    </w:p>
    <w:p w:rsidR="00A77B3E">
      <w:pPr>
        <w:pStyle w:val="17"/>
      </w:pPr>
      <w:r>
        <w:t xml:space="preserve">„ </w:t>
      </w:r>
    </w:p>
    <w:tbl>
      <w:tblPr>
        <w:tblStyle w:val="data-tisk-na-sirkuPouzeNaPrvniStranezahlavi"/>
        <w:tblW w:w="11970" w:type="dxa"/>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771"/>
        <w:gridCol w:w="2327"/>
        <w:gridCol w:w="7832"/>
      </w:tblGrid>
      <w:tr>
        <w:tblPrEx>
          <w:tblW w:w="11970" w:type="dxa"/>
          <w:tblInd w:w="172" w:type="dxa"/>
          <w:tblLook w:val="05E0"/>
        </w:tblPrEx>
        <w:trPr>
          <w:trHeight w:val="360"/>
          <w:tblHeader w:val="0"/>
        </w:trPr>
        <w:tc>
          <w:tcPr>
            <w:tcW w:w="400" w:type="pct"/>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7"/>
              <w:overflowPunct w:val="0"/>
              <w:ind w:left="0" w:firstLine="0"/>
              <w:jc w:val="lef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Číslo</w:t>
            </w:r>
          </w:p>
        </w:tc>
        <w:tc>
          <w:tcPr>
            <w:tcW w:w="550" w:type="pct"/>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7"/>
              <w:overflowPunct w:val="0"/>
              <w:ind w:left="0" w:firstLine="0"/>
              <w:jc w:val="lef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Vyobrazení</w:t>
            </w:r>
          </w:p>
        </w:tc>
        <w:tc>
          <w:tcPr>
            <w:tcW w:w="4050" w:type="pct"/>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7"/>
              <w:overflowPunct w:val="0"/>
              <w:ind w:left="0" w:firstLine="0"/>
              <w:jc w:val="lef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Název, význam a užití</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1</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35161" cy="896317"/>
                  <wp:docPr id="100079" name="" descr="sbcr2025c205z0205o0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xmlns:r="http://schemas.openxmlformats.org/officeDocument/2006/relationships" r:embed="rId43"/>
                          <a:stretch>
                            <a:fillRect/>
                          </a:stretch>
                        </pic:blipFill>
                        <pic:spPr>
                          <a:xfrm>
                            <a:off x="0" y="0"/>
                            <a:ext cx="335161" cy="896317"/>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Tříbarevná soustava s plnými signály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1a – Signál s červeným světlem „Stůj!“</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1b – Signál se žlutým světlem „Pozor!“</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1c – Signál se zeleným světlem „Volno“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řidiče odbočujícího vpravo platí pouze signál umístěný vpravo od jízdního pruhu určeného pro odbočení vpravo nebo signál umístěný nad tímto jízdním pruhem.</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2</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3037" cy="929345"/>
                  <wp:docPr id="100081" name="" descr="sbcr2025c205z0205o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xmlns:r="http://schemas.openxmlformats.org/officeDocument/2006/relationships" r:embed="rId44"/>
                          <a:stretch>
                            <a:fillRect/>
                          </a:stretch>
                        </pic:blipFill>
                        <pic:spPr>
                          <a:xfrm>
                            <a:off x="0" y="0"/>
                            <a:ext cx="353037" cy="929345"/>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Tříbarevná soustava se směrovými signály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2a – Signál se směrovou šipkou s červeným světlem „Stůj!“</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2b – Signál se směrovou šipkou se žlutým světlem „Pozor!“</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2c – Signál se směrovou šipkou se zeleným světlem „Volno“</w:t>
            </w:r>
          </w:p>
        </w:tc>
      </w:tr>
      <w:tr>
        <w:tblPrEx>
          <w:tblW w:w="11970" w:type="dxa"/>
          <w:tblInd w:w="172" w:type="dxa"/>
          <w:tblLook w:val="05E0"/>
        </w:tblPrEx>
        <w:trPr>
          <w:trHeight w:val="360"/>
          <w:tblHeader w:val="0"/>
        </w:trPr>
        <w:tc>
          <w:tcPr>
            <w:vMerge w:val="restart"/>
            <w:tcBorders>
              <w:top w:val="single" w:sz="3" w:space="0" w:color="000000"/>
              <w:bottom w:val="none" w:sz="0" w:space="0" w:color="auto"/>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3</w:t>
            </w:r>
          </w:p>
        </w:tc>
        <w:tc>
          <w:tcPr>
            <w:vMerge w:val="restart"/>
            <w:tcBorders>
              <w:top w:val="single" w:sz="3" w:space="0" w:color="000000"/>
              <w:left w:val="single" w:sz="3" w:space="0" w:color="000000"/>
              <w:bottom w:val="none" w:sz="0" w:space="0" w:color="auto"/>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3037" cy="929345"/>
                  <wp:docPr id="100083" name="" descr="sbcr2025c205z0205o0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xmlns:r="http://schemas.openxmlformats.org/officeDocument/2006/relationships" r:embed="rId45"/>
                          <a:stretch>
                            <a:fillRect/>
                          </a:stretch>
                        </pic:blipFill>
                        <pic:spPr>
                          <a:xfrm>
                            <a:off x="0" y="0"/>
                            <a:ext cx="353037" cy="929345"/>
                          </a:xfrm>
                          <a:prstGeom prst="rect">
                            <a:avLst/>
                          </a:prstGeom>
                        </pic:spPr>
                      </pic:pic>
                    </a:graphicData>
                  </a:graphic>
                </wp:inline>
              </w:drawing>
            </w:r>
          </w:p>
        </w:tc>
        <w:tc>
          <w:tcPr>
            <w:vMerge w:val="restart"/>
            <w:tcBorders>
              <w:top w:val="single" w:sz="3" w:space="0" w:color="000000"/>
              <w:left w:val="single" w:sz="3" w:space="0" w:color="000000"/>
              <w:bottom w:val="none" w:sz="0" w:space="0" w:color="auto"/>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Tříbarevná soustava s kombinovanými směrovými signály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3a – Signál s kombinovanou směrovou šipkou s červeným světlem „Stůj!“</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3b – Signál s kombinovanou směrovou šipkou se žlutým světlem „Pozor!“</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3c – Signál s kombinovanou směrovou šipkou se zeleným světlem „Volno“</w:t>
            </w:r>
          </w:p>
        </w:tc>
      </w:tr>
      <w:tr>
        <w:tblPrEx>
          <w:tblW w:w="11970" w:type="dxa"/>
          <w:tblInd w:w="172" w:type="dxa"/>
          <w:tblLook w:val="05E0"/>
        </w:tblPrEx>
        <w:trPr>
          <w:trHeight w:val="360"/>
          <w:tblHeader w:val="0"/>
        </w:trPr>
        <w:tc>
          <w:tcPr>
            <w:vMerge/>
            <w:tcBorders>
              <w:bottom w:val="single" w:sz="3" w:space="0" w:color="000000"/>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vMerge/>
            <w:tcBorders>
              <w:left w:val="single" w:sz="3" w:space="0" w:color="000000"/>
              <w:bottom w:val="single" w:sz="3" w:space="0" w:color="000000"/>
              <w:right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c>
          <w:tcPr>
            <w:vMerge/>
            <w:tcBorders>
              <w:left w:val="single" w:sz="3" w:space="0" w:color="000000"/>
              <w:bottom w:val="single" w:sz="3" w:space="0" w:color="000000"/>
            </w:tcBorders>
            <w:vAlign w:val="center"/>
            <w:hideMark/>
          </w:tcPr>
          <w:p w:rsidR="00A77B3E">
            <w:pPr>
              <w:overflowPunct w:val="0"/>
              <w:ind w:left="0" w:firstLine="0"/>
              <w:rPr>
                <w:rFonts w:ascii="Times New Roman" w:eastAsia="Times New Roman" w:hAnsi="Times New Roman" w:cs="Times New Roman"/>
                <w:sz w:val="20"/>
                <w:szCs w:val="20"/>
              </w:rPr>
            </w:pP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4a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75381" cy="375381"/>
                  <wp:docPr id="100085" name="" descr="sbcr2025c205z0205o0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xmlns:r="http://schemas.openxmlformats.org/officeDocument/2006/relationships" r:embed="rId46"/>
                          <a:stretch>
                            <a:fillRect/>
                          </a:stretch>
                        </pic:blipFill>
                        <pic:spPr>
                          <a:xfrm>
                            <a:off x="0" y="0"/>
                            <a:ext cx="375381" cy="375381"/>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Signál žlutého světla ve tvaru chodce</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4b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75381" cy="363889"/>
                  <wp:docPr id="100087" name="" descr="sbcr2025c205z0205o0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
                          <pic:cNvPicPr>
                            <a:picLocks noChangeAspect="1"/>
                          </pic:cNvPicPr>
                        </pic:nvPicPr>
                        <pic:blipFill>
                          <a:blip xmlns:r="http://schemas.openxmlformats.org/officeDocument/2006/relationships" r:embed="rId47"/>
                          <a:stretch>
                            <a:fillRect/>
                          </a:stretch>
                        </pic:blipFill>
                        <pic:spPr>
                          <a:xfrm>
                            <a:off x="0" y="0"/>
                            <a:ext cx="375381" cy="363889"/>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Signál žlutého světla ve tvaru cyklisty</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4c</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64209" cy="377627"/>
                  <wp:docPr id="100089" name="" descr="sbcr2025c205z0205o04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
                          <pic:cNvPicPr>
                            <a:picLocks noChangeAspect="1"/>
                          </pic:cNvPicPr>
                        </pic:nvPicPr>
                        <pic:blipFill>
                          <a:blip xmlns:r="http://schemas.openxmlformats.org/officeDocument/2006/relationships" r:embed="rId48"/>
                          <a:stretch>
                            <a:fillRect/>
                          </a:stretch>
                        </pic:blipFill>
                        <pic:spPr>
                          <a:xfrm>
                            <a:off x="0" y="0"/>
                            <a:ext cx="364209" cy="377627"/>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Signál žlutého světla ve tvaru chodce a cyklisty</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5</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75381" cy="375381"/>
                  <wp:docPr id="100091" name="" descr="sbcr2025c205z0205o04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
                          <pic:cNvPicPr>
                            <a:picLocks noChangeAspect="1"/>
                          </pic:cNvPicPr>
                        </pic:nvPicPr>
                        <pic:blipFill>
                          <a:blip xmlns:r="http://schemas.openxmlformats.org/officeDocument/2006/relationships" r:embed="rId49"/>
                          <a:stretch>
                            <a:fillRect/>
                          </a:stretch>
                        </pic:blipFill>
                        <pic:spPr>
                          <a:xfrm>
                            <a:off x="0" y="0"/>
                            <a:ext cx="375381" cy="375381"/>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Doplňková zelená šipka</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6</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55819" cy="465395"/>
                  <wp:docPr id="100093" name="" descr="sbcr2025c205z0205o04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xmlns:r="http://schemas.openxmlformats.org/officeDocument/2006/relationships" r:embed="rId50"/>
                          <a:stretch>
                            <a:fillRect/>
                          </a:stretch>
                        </pic:blipFill>
                        <pic:spPr>
                          <a:xfrm>
                            <a:off x="0" y="0"/>
                            <a:ext cx="455819" cy="465395"/>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Signál pro opuštění křižovatky</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7</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64209" cy="366125"/>
                  <wp:docPr id="100095" name="" descr="sbcr2025c205z0205o04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
                          <pic:cNvPicPr>
                            <a:picLocks noChangeAspect="1"/>
                          </pic:cNvPicPr>
                        </pic:nvPicPr>
                        <pic:blipFill>
                          <a:blip xmlns:r="http://schemas.openxmlformats.org/officeDocument/2006/relationships" r:embed="rId51"/>
                          <a:stretch>
                            <a:fillRect/>
                          </a:stretch>
                        </pic:blipFill>
                        <pic:spPr>
                          <a:xfrm>
                            <a:off x="0" y="0"/>
                            <a:ext cx="364209" cy="366125"/>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Přerušované žluté světlo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Signál je ve tvaru plného světla.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Signál může být doplněn o symbol chodce, cyklisty nebo chodce a cyklisty v případě, že je nutno zvlášť upozornit na přecházející chodce anebo přejíždějící cyklisty.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239082" cy="239082"/>
                  <wp:docPr id="100097" name="" descr="sbcr2025c205z0205o04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
                          <pic:cNvPicPr>
                            <a:picLocks noChangeAspect="1"/>
                          </pic:cNvPicPr>
                        </pic:nvPicPr>
                        <pic:blipFill>
                          <a:blip xmlns:r="http://schemas.openxmlformats.org/officeDocument/2006/relationships" r:embed="rId52"/>
                          <a:stretch>
                            <a:fillRect/>
                          </a:stretch>
                        </pic:blipFill>
                        <pic:spPr>
                          <a:xfrm>
                            <a:off x="0" y="0"/>
                            <a:ext cx="239082" cy="239082"/>
                          </a:xfrm>
                          <a:prstGeom prst="rect">
                            <a:avLst/>
                          </a:prstGeom>
                        </pic:spPr>
                      </pic:pic>
                    </a:graphicData>
                  </a:graphic>
                </wp:inline>
              </w:drawing>
            </w:r>
          </w:p>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236847" cy="238757"/>
                  <wp:docPr id="100099" name="" descr="sbcr2025c205z0205o0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
                          <pic:cNvPicPr>
                            <a:picLocks noChangeAspect="1"/>
                          </pic:cNvPicPr>
                        </pic:nvPicPr>
                        <pic:blipFill>
                          <a:blip xmlns:r="http://schemas.openxmlformats.org/officeDocument/2006/relationships" r:embed="rId53"/>
                          <a:stretch>
                            <a:fillRect/>
                          </a:stretch>
                        </pic:blipFill>
                        <pic:spPr>
                          <a:xfrm>
                            <a:off x="0" y="0"/>
                            <a:ext cx="236847" cy="238757"/>
                          </a:xfrm>
                          <a:prstGeom prst="rect">
                            <a:avLst/>
                          </a:prstGeom>
                        </pic:spPr>
                      </pic:pic>
                    </a:graphicData>
                  </a:graphic>
                </wp:inline>
              </w:drawing>
            </w:r>
          </w:p>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239082" cy="239082"/>
                  <wp:docPr id="100101" name="" descr="sbcr2025c205z0205o0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
                          <pic:cNvPicPr>
                            <a:picLocks noChangeAspect="1"/>
                          </pic:cNvPicPr>
                        </pic:nvPicPr>
                        <pic:blipFill>
                          <a:blip xmlns:r="http://schemas.openxmlformats.org/officeDocument/2006/relationships" r:embed="rId54"/>
                          <a:stretch>
                            <a:fillRect/>
                          </a:stretch>
                        </pic:blipFill>
                        <pic:spPr>
                          <a:xfrm>
                            <a:off x="0" y="0"/>
                            <a:ext cx="239082" cy="239082"/>
                          </a:xfrm>
                          <a:prstGeom prst="rect">
                            <a:avLst/>
                          </a:prstGeom>
                        </pic:spPr>
                      </pic:pic>
                    </a:graphicData>
                  </a:graphic>
                </wp:inline>
              </w:drawing>
            </w:r>
          </w:p>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Signál lze použít i ve tvaru světelné rampy ze tří až pěti světel umístěných na vozidle vodorovně vedle sebe. Při střídavém blikání sudých a lichých světel upozorňuje na potřebu dbát zvýšené opatrnosti, postupný řetězec směřující na levou nebo pravou stranu ukazuje řidiči, kterým směrem má překážku objet.</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692667" cy="137768"/>
                  <wp:docPr id="100103" name="" descr="sbcr2025c205z0205o0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
                          <pic:cNvPicPr>
                            <a:picLocks noChangeAspect="1"/>
                          </pic:cNvPicPr>
                        </pic:nvPicPr>
                        <pic:blipFill>
                          <a:blip xmlns:r="http://schemas.openxmlformats.org/officeDocument/2006/relationships" r:embed="rId55"/>
                          <a:stretch>
                            <a:fillRect/>
                          </a:stretch>
                        </pic:blipFill>
                        <pic:spPr>
                          <a:xfrm>
                            <a:off x="0" y="0"/>
                            <a:ext cx="692667" cy="137768"/>
                          </a:xfrm>
                          <a:prstGeom prst="rect">
                            <a:avLst/>
                          </a:prstGeom>
                        </pic:spPr>
                      </pic:pic>
                    </a:graphicData>
                  </a:graphic>
                </wp:inline>
              </w:drawing>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8a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41865" cy="330405"/>
                  <wp:docPr id="100105" name="" descr="sbcr2025c205z0205o05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
                          <pic:cNvPicPr>
                            <a:picLocks noChangeAspect="1"/>
                          </pic:cNvPicPr>
                        </pic:nvPicPr>
                        <pic:blipFill>
                          <a:blip xmlns:r="http://schemas.openxmlformats.org/officeDocument/2006/relationships" r:embed="rId56"/>
                          <a:stretch>
                            <a:fillRect/>
                          </a:stretch>
                        </pic:blipFill>
                        <pic:spPr>
                          <a:xfrm>
                            <a:off x="0" y="0"/>
                            <a:ext cx="341865" cy="330405"/>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Zakázaný vjezd vozidel do jízdního pruhu</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8b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3037" cy="351128"/>
                  <wp:docPr id="100107" name="" descr="sbcr2025c205z0205o05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
                          <pic:cNvPicPr>
                            <a:picLocks noChangeAspect="1"/>
                          </pic:cNvPicPr>
                        </pic:nvPicPr>
                        <pic:blipFill>
                          <a:blip xmlns:r="http://schemas.openxmlformats.org/officeDocument/2006/relationships" r:embed="rId57"/>
                          <a:stretch>
                            <a:fillRect/>
                          </a:stretch>
                        </pic:blipFill>
                        <pic:spPr>
                          <a:xfrm>
                            <a:off x="0" y="0"/>
                            <a:ext cx="353037" cy="351128"/>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Volný vjezd vozidel do jízdního pruhu</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8c</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3037" cy="293879"/>
                  <wp:docPr id="100109" name="" descr="sbcr2025c205z0205o05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
                          <pic:cNvPicPr>
                            <a:picLocks noChangeAspect="1"/>
                          </pic:cNvPicPr>
                        </pic:nvPicPr>
                        <pic:blipFill>
                          <a:blip xmlns:r="http://schemas.openxmlformats.org/officeDocument/2006/relationships" r:embed="rId58"/>
                          <a:stretch>
                            <a:fillRect/>
                          </a:stretch>
                        </pic:blipFill>
                        <pic:spPr>
                          <a:xfrm>
                            <a:off x="0" y="0"/>
                            <a:ext cx="353037" cy="293879"/>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Světelná šipka vlevo</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8d</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3037" cy="293879"/>
                  <wp:docPr id="100111" name="" descr="sbcr2025c205z0205o05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
                          <pic:cNvPicPr>
                            <a:picLocks noChangeAspect="1"/>
                          </pic:cNvPicPr>
                        </pic:nvPicPr>
                        <pic:blipFill>
                          <a:blip xmlns:r="http://schemas.openxmlformats.org/officeDocument/2006/relationships" r:embed="rId59"/>
                          <a:stretch>
                            <a:fillRect/>
                          </a:stretch>
                        </pic:blipFill>
                        <pic:spPr>
                          <a:xfrm>
                            <a:off x="0" y="0"/>
                            <a:ext cx="353037" cy="293879"/>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Světelná šipka vpravo</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8e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39630" cy="320550"/>
                  <wp:docPr id="100113" name="" descr="sbcr2025c205z0205o05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
                          <pic:cNvPicPr>
                            <a:picLocks noChangeAspect="1"/>
                          </pic:cNvPicPr>
                        </pic:nvPicPr>
                        <pic:blipFill>
                          <a:blip xmlns:r="http://schemas.openxmlformats.org/officeDocument/2006/relationships" r:embed="rId60"/>
                          <a:stretch>
                            <a:fillRect/>
                          </a:stretch>
                        </pic:blipFill>
                        <pic:spPr>
                          <a:xfrm>
                            <a:off x="0" y="0"/>
                            <a:ext cx="339630" cy="320550"/>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Světelný kříž</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Signál označuje překážku provozu na pozemních komunikacích vedle vozovky.</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9</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3037" cy="681265"/>
                  <wp:docPr id="100115" name="" descr="sbcr2025c205z0205o05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
                          <pic:cNvPicPr>
                            <a:picLocks noChangeAspect="1"/>
                          </pic:cNvPicPr>
                        </pic:nvPicPr>
                        <pic:blipFill>
                          <a:blip xmlns:r="http://schemas.openxmlformats.org/officeDocument/2006/relationships" r:embed="rId61"/>
                          <a:stretch>
                            <a:fillRect/>
                          </a:stretch>
                        </pic:blipFill>
                        <pic:spPr>
                          <a:xfrm>
                            <a:off x="0" y="0"/>
                            <a:ext cx="353037" cy="681265"/>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Dvoubarevná soustava se signály pro chodce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9a – Signál pro chodce se znamením „Stůj!“</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9b – Signál pro chodce se znamením „Volno“</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10</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41865" cy="930101"/>
                  <wp:docPr id="100117" name="" descr="sbcr2025c205z0205o05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
                          <pic:cNvPicPr>
                            <a:picLocks noChangeAspect="1"/>
                          </pic:cNvPicPr>
                        </pic:nvPicPr>
                        <pic:blipFill>
                          <a:blip xmlns:r="http://schemas.openxmlformats.org/officeDocument/2006/relationships" r:embed="rId62"/>
                          <a:stretch>
                            <a:fillRect/>
                          </a:stretch>
                        </pic:blipFill>
                        <pic:spPr>
                          <a:xfrm>
                            <a:off x="0" y="0"/>
                            <a:ext cx="341865" cy="930101"/>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Tříbarevná soustava se signály pro cyklisty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10a – Signál pro cyklisty se znamením „Stůj!“</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10b – Signál pro cyklisty se znamením „Pozor!“</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10c – Signál pro cyklisty se znamením „Volno“</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11</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3037" cy="646916"/>
                  <wp:docPr id="100119" name="" descr="sbcr2025c205z0205o0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
                          <pic:cNvPicPr>
                            <a:picLocks noChangeAspect="1"/>
                          </pic:cNvPicPr>
                        </pic:nvPicPr>
                        <pic:blipFill>
                          <a:blip xmlns:r="http://schemas.openxmlformats.org/officeDocument/2006/relationships" r:embed="rId63"/>
                          <a:stretch>
                            <a:fillRect/>
                          </a:stretch>
                        </pic:blipFill>
                        <pic:spPr>
                          <a:xfrm>
                            <a:off x="0" y="0"/>
                            <a:ext cx="353037" cy="646916"/>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Dvoubarevná soustava se signály pro chodce a cyklisty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11a – Signál pro chodce a cyklisty se znamením „Stůj!“</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S 11b – Signál pro chodce a cyklisty se znamením „Volno“</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12a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48568" cy="352398"/>
                  <wp:docPr id="100121" name="" descr="sbcr2025c205z0205o0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
                          <pic:cNvPicPr>
                            <a:picLocks noChangeAspect="1"/>
                          </pic:cNvPicPr>
                        </pic:nvPicPr>
                        <pic:blipFill>
                          <a:blip xmlns:r="http://schemas.openxmlformats.org/officeDocument/2006/relationships" r:embed="rId64"/>
                          <a:stretch>
                            <a:fillRect/>
                          </a:stretch>
                        </pic:blipFill>
                        <pic:spPr>
                          <a:xfrm>
                            <a:off x="0" y="0"/>
                            <a:ext cx="348568" cy="352398"/>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Rychlostní signál s proměnným signálním znakem</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12b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353037" cy="1345355"/>
                  <wp:docPr id="100123" name="" descr="sbcr2025c205z0205o0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
                          <pic:cNvPicPr>
                            <a:picLocks noChangeAspect="1"/>
                          </pic:cNvPicPr>
                        </pic:nvPicPr>
                        <pic:blipFill>
                          <a:blip xmlns:r="http://schemas.openxmlformats.org/officeDocument/2006/relationships" r:embed="rId65"/>
                          <a:stretch>
                            <a:fillRect/>
                          </a:stretch>
                        </pic:blipFill>
                        <pic:spPr>
                          <a:xfrm>
                            <a:off x="0" y="0"/>
                            <a:ext cx="353037" cy="1345355"/>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Rychlostní signál s více signálními znaky</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13</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592118" cy="306598"/>
                  <wp:docPr id="100125" name="" descr="sbcr2025c205z0205o0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
                          <pic:cNvPicPr>
                            <a:picLocks noChangeAspect="1"/>
                          </pic:cNvPicPr>
                        </pic:nvPicPr>
                        <pic:blipFill>
                          <a:blip xmlns:r="http://schemas.openxmlformats.org/officeDocument/2006/relationships" r:embed="rId66"/>
                          <a:stretch>
                            <a:fillRect/>
                          </a:stretch>
                        </pic:blipFill>
                        <pic:spPr>
                          <a:xfrm>
                            <a:off x="0" y="0"/>
                            <a:ext cx="592118" cy="306598"/>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Signál dvou vedle sebe umístěných střídavě přerušovaných červených světel</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14a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592118" cy="343007"/>
                  <wp:docPr id="100127" name="" descr="sbcr2025c205z0205o06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
                          <pic:cNvPicPr>
                            <a:picLocks noChangeAspect="1"/>
                          </pic:cNvPicPr>
                        </pic:nvPicPr>
                        <pic:blipFill>
                          <a:blip xmlns:r="http://schemas.openxmlformats.org/officeDocument/2006/relationships" r:embed="rId67"/>
                          <a:stretch>
                            <a:fillRect/>
                          </a:stretch>
                        </pic:blipFill>
                        <pic:spPr>
                          <a:xfrm>
                            <a:off x="0" y="0"/>
                            <a:ext cx="592118" cy="343007"/>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Dvě červená střídavě přerušovaná světla signálu přejezdového zabezpečovacího zařízení</w:t>
            </w:r>
          </w:p>
        </w:tc>
      </w:tr>
      <w:tr>
        <w:tblPrEx>
          <w:tblW w:w="11970" w:type="dxa"/>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 14b</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592118" cy="343007"/>
                  <wp:docPr id="100129" name="" descr="sbcr2025c205z0205o06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
                          <pic:cNvPicPr>
                            <a:picLocks noChangeAspect="1"/>
                          </pic:cNvPicPr>
                        </pic:nvPicPr>
                        <pic:blipFill>
                          <a:blip xmlns:r="http://schemas.openxmlformats.org/officeDocument/2006/relationships" r:embed="rId68"/>
                          <a:stretch>
                            <a:fillRect/>
                          </a:stretch>
                        </pic:blipFill>
                        <pic:spPr>
                          <a:xfrm>
                            <a:off x="0" y="0"/>
                            <a:ext cx="592118" cy="343007"/>
                          </a:xfrm>
                          <a:prstGeom prst="rect">
                            <a:avLst/>
                          </a:prstGeom>
                        </pic:spPr>
                      </pic:pic>
                    </a:graphicData>
                  </a:graphic>
                </wp:inline>
              </w:drawing>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Přerušované bílé světlo signálu přejezdového zabezpečovacího zařízení</w:t>
            </w:r>
          </w:p>
        </w:tc>
      </w:tr>
    </w:tbl>
    <w:p w:rsidR="00A77B3E">
      <w:pPr>
        <w:pStyle w:val="17"/>
      </w:pPr>
      <w:r>
        <w:t>“.</w:t>
      </w:r>
    </w:p>
    <w:p w:rsidR="00A77B3E">
      <w:pPr>
        <w:pStyle w:val="15"/>
      </w:pPr>
      <w:r>
        <w:t>27.</w:t>
      </w:r>
      <w:r>
        <w:t>    V příloze č. 10 se za položku č. Z 12 doplňuje položka č. Z 13, která zní:</w:t>
      </w:r>
    </w:p>
    <w:p w:rsidR="00A77B3E">
      <w:pPr>
        <w:pStyle w:val="11"/>
      </w:pPr>
    </w:p>
    <w:p w:rsidR="00A77B3E">
      <w:pPr>
        <w:pStyle w:val="17"/>
      </w:pPr>
      <w:r>
        <w:t xml:space="preserve">„ </w:t>
      </w:r>
    </w:p>
    <w:tbl>
      <w:tblPr>
        <w:tblStyle w:val="data-tisk-na-sirkuPouzeNaPrvniStranezahlavi"/>
        <w:tblW w:w="11980" w:type="dxa"/>
        <w:tblInd w:w="16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490"/>
        <w:gridCol w:w="2221"/>
        <w:gridCol w:w="8229"/>
      </w:tblGrid>
      <w:tr>
        <w:tblPrEx>
          <w:tblW w:w="11980" w:type="dxa"/>
          <w:tblInd w:w="162" w:type="dxa"/>
          <w:tblLook w:val="05E0"/>
        </w:tblPrEx>
        <w:trPr>
          <w:trHeight w:val="360"/>
          <w:tblHeader w:val="0"/>
        </w:trPr>
        <w:tc>
          <w:tcPr>
            <w:tcW w:w="300" w:type="pct"/>
            <w:tcBorders>
              <w:top w:val="single" w:sz="8"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 13</w:t>
            </w:r>
          </w:p>
        </w:tc>
        <w:tc>
          <w:tcPr>
            <w:tcW w:w="250" w:type="pct"/>
            <w:tcBorders>
              <w:top w:val="single" w:sz="8"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603290" cy="80439"/>
                  <wp:docPr id="100131" name="" descr="sbcr2025c205z0205o06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
                          <pic:cNvPicPr>
                            <a:picLocks noChangeAspect="1"/>
                          </pic:cNvPicPr>
                        </pic:nvPicPr>
                        <pic:blipFill>
                          <a:blip xmlns:r="http://schemas.openxmlformats.org/officeDocument/2006/relationships" r:embed="rId69"/>
                          <a:stretch>
                            <a:fillRect/>
                          </a:stretch>
                        </pic:blipFill>
                        <pic:spPr>
                          <a:xfrm>
                            <a:off x="0" y="0"/>
                            <a:ext cx="603290" cy="80439"/>
                          </a:xfrm>
                          <a:prstGeom prst="rect">
                            <a:avLst/>
                          </a:prstGeom>
                        </pic:spPr>
                      </pic:pic>
                    </a:graphicData>
                  </a:graphic>
                </wp:inline>
              </w:drawing>
            </w:r>
          </w:p>
        </w:tc>
        <w:tc>
          <w:tcPr>
            <w:tcW w:w="4850" w:type="pct"/>
            <w:tcBorders>
              <w:top w:val="single" w:sz="8"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Výstražný práh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Práh nebo sestava prahů vytváří umělou nerovnost upozorňující na blížící se ukončení jízdního pruhu nebo na překážku na vozovce či na krajnici při přechodné úpravě provozu na pozemní komunikaci a je-li to nezbytné, je možné jej přejet.</w:t>
            </w:r>
          </w:p>
        </w:tc>
      </w:tr>
    </w:tbl>
    <w:p w:rsidR="00A77B3E">
      <w:pPr>
        <w:pStyle w:val="17"/>
      </w:pPr>
      <w:r>
        <w:t>“.</w:t>
      </w:r>
    </w:p>
    <w:p w:rsidR="00A77B3E">
      <w:pPr>
        <w:pStyle w:val="15"/>
      </w:pPr>
      <w:r>
        <w:t>28.</w:t>
      </w:r>
      <w:r>
        <w:t>    Příloha č. 14 včetně nadpisu zní:</w:t>
      </w:r>
    </w:p>
    <w:p w:rsidR="00A77B3E">
      <w:pPr>
        <w:pStyle w:val="11"/>
      </w:pPr>
    </w:p>
    <w:p w:rsidR="00A77B3E">
      <w:pPr>
        <w:pStyle w:val="19"/>
      </w:pPr>
      <w:r>
        <w:t>„Příloha č. 14</w:t>
      </w:r>
    </w:p>
    <w:p w:rsidR="00A77B3E">
      <w:pPr>
        <w:pStyle w:val="20"/>
      </w:pPr>
      <w:r>
        <w:t>Vzor pokynů policisty při řízení provozu na pozemních komunikacích</w:t>
      </w:r>
    </w:p>
    <w:tbl>
      <w:tblPr>
        <w:tblStyle w:val="data-tisk-na-sirkuPouzeNaPrvniStranezahlavi"/>
        <w:tblW w:w="11970" w:type="dxa"/>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2648"/>
        <w:gridCol w:w="9282"/>
      </w:tblGrid>
      <w:tr>
        <w:tblPrEx>
          <w:tblW w:w="11970" w:type="dxa"/>
          <w:tblInd w:w="172" w:type="dxa"/>
          <w:tblLook w:val="05E0"/>
        </w:tblPrEx>
        <w:trPr>
          <w:trHeight w:val="360"/>
          <w:tblHeader w:val="0"/>
        </w:trPr>
        <w:tc>
          <w:tcPr>
            <w:tcW w:w="450" w:type="pct"/>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7"/>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Pokyn</w:t>
            </w:r>
          </w:p>
        </w:tc>
        <w:tc>
          <w:tcPr>
            <w:tcW w:w="4550" w:type="pct"/>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7"/>
              <w:overflowPunct w:val="0"/>
              <w:ind w:left="0" w:firstLine="0"/>
              <w:jc w:val="lef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Význam</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806621" cy="714873"/>
                  <wp:docPr id="100133" name="" descr="sbcr2025c205z0205o06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
                          <pic:cNvPicPr>
                            <a:picLocks noChangeAspect="1"/>
                          </pic:cNvPicPr>
                        </pic:nvPicPr>
                        <pic:blipFill>
                          <a:blip xmlns:r="http://schemas.openxmlformats.org/officeDocument/2006/relationships" r:embed="rId70"/>
                          <a:stretch>
                            <a:fillRect/>
                          </a:stretch>
                        </pic:blipFill>
                        <pic:spPr>
                          <a:xfrm>
                            <a:off x="0" y="0"/>
                            <a:ext cx="806621" cy="714873"/>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„Stůj!“</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řidiče přijíždějící směrem k čelu nebo k zádům policisty.</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250254" cy="1023939"/>
                  <wp:docPr id="100135" name="" descr="sbcr2025c205z0205o06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
                          <pic:cNvPicPr>
                            <a:picLocks noChangeAspect="1"/>
                          </pic:cNvPicPr>
                        </pic:nvPicPr>
                        <pic:blipFill>
                          <a:blip xmlns:r="http://schemas.openxmlformats.org/officeDocument/2006/relationships" r:embed="rId71"/>
                          <a:stretch>
                            <a:fillRect/>
                          </a:stretch>
                        </pic:blipFill>
                        <pic:spPr>
                          <a:xfrm>
                            <a:off x="0" y="0"/>
                            <a:ext cx="250254" cy="1023939"/>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„Pozor!“</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všechny řidiče.</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194394" cy="729457"/>
                  <wp:docPr id="100137" name="" descr="sbcr2025c205z0205o06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
                          <pic:cNvPicPr>
                            <a:picLocks noChangeAspect="1"/>
                          </pic:cNvPicPr>
                        </pic:nvPicPr>
                        <pic:blipFill>
                          <a:blip xmlns:r="http://schemas.openxmlformats.org/officeDocument/2006/relationships" r:embed="rId72"/>
                          <a:stretch>
                            <a:fillRect/>
                          </a:stretch>
                        </pic:blipFill>
                        <pic:spPr>
                          <a:xfrm>
                            <a:off x="0" y="0"/>
                            <a:ext cx="194394" cy="729457"/>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„Volno!“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řidiče přijíždějící směrem k pravému nebo levému boku policisty.</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475929" cy="716761"/>
                  <wp:docPr id="100139" name="" descr="sbcr2025c205z0205o0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
                          <pic:cNvPicPr>
                            <a:picLocks noChangeAspect="1"/>
                          </pic:cNvPicPr>
                        </pic:nvPicPr>
                        <pic:blipFill>
                          <a:blip xmlns:r="http://schemas.openxmlformats.org/officeDocument/2006/relationships" r:embed="rId73"/>
                          <a:stretch>
                            <a:fillRect/>
                          </a:stretch>
                        </pic:blipFill>
                        <pic:spPr>
                          <a:xfrm>
                            <a:off x="0" y="0"/>
                            <a:ext cx="475929" cy="716761"/>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bottom"/>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„Stůj!“</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řidiče přijíždějící směrem k zádům a pravému boku policisty.</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„Volno!“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1. pro řidiče přijíždějící směrem k levému boku policisty,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2. pro řidiče přijíždějící směrem k čelu policisty, pokud odbočuje vpravo,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3. pro chodce přecházející za zády policisty.</w:t>
            </w:r>
          </w:p>
        </w:tc>
      </w:tr>
      <w:tr>
        <w:tblPrEx>
          <w:tblW w:w="11970"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862482" cy="785987"/>
                  <wp:docPr id="100141" name="" descr="sbcr2025c205z0205o0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
                          <pic:cNvPicPr>
                            <a:picLocks noChangeAspect="1"/>
                          </pic:cNvPicPr>
                        </pic:nvPicPr>
                        <pic:blipFill>
                          <a:blip xmlns:r="http://schemas.openxmlformats.org/officeDocument/2006/relationships" r:embed="rId74"/>
                          <a:stretch>
                            <a:fillRect/>
                          </a:stretch>
                        </pic:blipFill>
                        <pic:spPr>
                          <a:xfrm>
                            <a:off x="0" y="0"/>
                            <a:ext cx="862482" cy="785987"/>
                          </a:xfrm>
                          <a:prstGeom prst="rect">
                            <a:avLst/>
                          </a:prstGeom>
                        </pic:spPr>
                      </pic:pic>
                    </a:graphicData>
                  </a:graphic>
                </wp:inline>
              </w:drawing>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„Zpomalit jízdu!“</w:t>
            </w:r>
          </w:p>
        </w:tc>
      </w:tr>
      <w:tr>
        <w:tblPrEx>
          <w:tblW w:w="11970" w:type="dxa"/>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center"/>
            <w:hideMark/>
          </w:tcPr>
          <w:p w:rsidR="00A77B3E">
            <w:pPr>
              <w:pStyle w:val="17"/>
              <w:overflowPunct w:val="0"/>
              <w:ind w:left="0" w:firstLine="0"/>
              <w:jc w:val="center"/>
              <w:rPr>
                <w:rFonts w:ascii="Times New Roman" w:eastAsia="Times New Roman" w:hAnsi="Times New Roman" w:cs="Times New Roman"/>
                <w:sz w:val="20"/>
                <w:szCs w:val="20"/>
              </w:rPr>
            </w:pPr>
          </w:p>
          <w:p w:rsidR="00A77B3E">
            <w:pPr>
              <w:pStyle w:val="1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drawing>
                <wp:inline>
                  <wp:extent cx="784277" cy="738368"/>
                  <wp:docPr id="100143" name="" descr="sbcr2025c205z0205o07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
                          <pic:cNvPicPr>
                            <a:picLocks noChangeAspect="1"/>
                          </pic:cNvPicPr>
                        </pic:nvPicPr>
                        <pic:blipFill>
                          <a:blip xmlns:r="http://schemas.openxmlformats.org/officeDocument/2006/relationships" r:embed="rId75"/>
                          <a:stretch>
                            <a:fillRect/>
                          </a:stretch>
                        </pic:blipFill>
                        <pic:spPr>
                          <a:xfrm>
                            <a:off x="0" y="0"/>
                            <a:ext cx="784277" cy="738368"/>
                          </a:xfrm>
                          <a:prstGeom prst="rect">
                            <a:avLst/>
                          </a:prstGeom>
                        </pic:spPr>
                      </pic:pic>
                    </a:graphicData>
                  </a:graphic>
                </wp:inline>
              </w:drawing>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center"/>
            <w:hideMark/>
          </w:tcPr>
          <w:p w:rsidR="00A77B3E">
            <w:pPr>
              <w:pStyle w:val="17"/>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„Zrychlit jízdu!“</w:t>
            </w:r>
          </w:p>
        </w:tc>
      </w:tr>
    </w:tbl>
    <w:p w:rsidR="00A77B3E">
      <w:pPr>
        <w:pStyle w:val="17"/>
      </w:pPr>
      <w:r>
        <w:t>“.</w:t>
      </w:r>
    </w:p>
    <w:p w:rsidR="00A77B3E">
      <w:pPr>
        <w:pStyle w:val="7"/>
      </w:pPr>
      <w:r>
        <w:t>Čl. II</w:t>
      </w:r>
    </w:p>
    <w:p w:rsidR="00A77B3E">
      <w:pPr>
        <w:pStyle w:val="21"/>
      </w:pPr>
      <w:r>
        <w:t>Přechodné ustanovení</w:t>
      </w:r>
    </w:p>
    <w:p w:rsidR="00A77B3E">
      <w:pPr>
        <w:pStyle w:val="1"/>
      </w:pPr>
    </w:p>
    <w:p w:rsidR="00A77B3E">
      <w:pPr>
        <w:pStyle w:val="8"/>
      </w:pPr>
      <w:r>
        <w:t xml:space="preserve">Dopravní značky podle </w:t>
      </w:r>
      <w:r>
        <w:t>vyhlášky č. 294/2015 Sb.</w:t>
      </w:r>
      <w:r>
        <w:t xml:space="preserve">, ve znění účinném přede dnem nabytí účinnosti této vyhlášky, umístěné přede dnem nabytí účinnosti této vyhlášky, které neodpovídají </w:t>
      </w:r>
      <w:r>
        <w:t>vyhlášce č. 294/2015 Sb.</w:t>
      </w:r>
      <w:r>
        <w:t>, ve znění účinném ode dne nabytí účinnosti této vyhlášky, zůstávají v platnosti do 30. června 2035.</w:t>
      </w:r>
    </w:p>
    <w:p w:rsidR="00A77B3E">
      <w:pPr>
        <w:pStyle w:val="7"/>
      </w:pPr>
      <w:r>
        <w:t>Čl. III</w:t>
      </w:r>
    </w:p>
    <w:p w:rsidR="00A77B3E">
      <w:pPr>
        <w:pStyle w:val="21"/>
      </w:pPr>
      <w:r>
        <w:t>Účinnost</w:t>
      </w:r>
    </w:p>
    <w:p w:rsidR="00A77B3E">
      <w:pPr>
        <w:pStyle w:val="1"/>
      </w:pPr>
    </w:p>
    <w:p w:rsidR="00A77B3E">
      <w:pPr>
        <w:pStyle w:val="8"/>
      </w:pPr>
      <w:r>
        <w:t>Tato vyhláška nabývá účinnosti dnem 1. července 2025.</w:t>
      </w:r>
    </w:p>
    <w:p w:rsidR="00A77B3E">
      <w:pPr>
        <w:pStyle w:val="1"/>
      </w:pPr>
    </w:p>
    <w:p w:rsidR="00A77B3E">
      <w:pPr>
        <w:pStyle w:val="22"/>
      </w:pPr>
      <w:r>
        <w:t>Ministr:</w:t>
      </w:r>
    </w:p>
    <w:p w:rsidR="00A77B3E">
      <w:pPr>
        <w:pStyle w:val="23"/>
      </w:pPr>
      <w:r>
        <w:t>Mgr. Kupka v. r.</w:t>
      </w:r>
    </w:p>
    <w:sectPr>
      <w:headerReference w:type="even" r:id="rId76"/>
      <w:headerReference w:type="default" r:id="rId77"/>
      <w:headerReference w:type="first" r:id="rId78"/>
      <w:pgSz w:w="15840" w:h="12240" w:orient="landscape"/>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noWrap w:val="0"/>
          <w:tcMar>
            <w:top w:w="85" w:type="dxa"/>
            <w:left w:w="146" w:type="dxa"/>
            <w:bottom w:w="85" w:type="dxa"/>
            <w:right w:w="152" w:type="dxa"/>
          </w:tcMar>
          <w:vAlign w:val="center"/>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center"/>
          <w:hideMark/>
        </w:tcPr>
        <w:p>
          <w:pPr>
            <w:pStyle w:val="Hlavicka"/>
            <w:jc w:val="left"/>
          </w:pPr>
          <w:r>
            <w:t xml:space="preserve">strana </w:t>
          </w:r>
          <w:r>
            <w:fldChar w:fldCharType="begin"/>
          </w:r>
          <w:r>
            <w:instrText>PAGE</w:instrText>
          </w:r>
          <w:r>
            <w:fldChar w:fldCharType="separate"/>
          </w:r>
          <w:r>
            <w:fldChar w:fldCharType="end"/>
          </w:r>
        </w:p>
      </w:tc>
      <w:tc>
        <w:tcPr>
          <w:tcW w:w="3000" w:type="pct"/>
          <w:gridSpan w:val="2"/>
          <w:noWrap w:val="0"/>
          <w:tcMar>
            <w:top w:w="85" w:type="dxa"/>
            <w:left w:w="146" w:type="dxa"/>
            <w:bottom w:w="85" w:type="dxa"/>
            <w:right w:w="152" w:type="dxa"/>
          </w:tcMar>
          <w:vAlign w:val="center"/>
          <w:hideMark/>
        </w:tcPr>
        <w:p>
          <w:pPr>
            <w:pStyle w:val="Hlavicka"/>
            <w:jc w:val="center"/>
          </w:pPr>
        </w:p>
      </w:tc>
      <w:tc>
        <w:tcPr>
          <w:tcW w:w="1000" w:type="pct"/>
          <w:noWrap w:val="0"/>
          <w:tcMar>
            <w:top w:w="85" w:type="dxa"/>
            <w:left w:w="146" w:type="dxa"/>
            <w:bottom w:w="85" w:type="dxa"/>
            <w:right w:w="152" w:type="dxa"/>
          </w:tcMar>
          <w:vAlign w:val="center"/>
          <w:hideMark/>
        </w:tcPr>
        <w:p>
          <w:pPr>
            <w:pStyle w:val="Hlavicka"/>
            <w:jc w:val="right"/>
          </w:pPr>
        </w:p>
      </w:tc>
    </w:tr>
    <w:tr>
      <w:tblPrEx>
        <w:tblW w:w="5000" w:type="pct"/>
      </w:tblPrEx>
      <w:tc>
        <w:tcPr>
          <w:tcW w:w="2500" w:type="pct"/>
          <w:gridSpan w:val="2"/>
          <w:noWrap w:val="0"/>
          <w:tcMar>
            <w:top w:w="85" w:type="dxa"/>
            <w:left w:w="146" w:type="dxa"/>
            <w:bottom w:w="85" w:type="dxa"/>
            <w:right w:w="152" w:type="dxa"/>
          </w:tcMar>
          <w:vAlign w:val="center"/>
          <w:hideMark/>
        </w:tcPr>
        <w:p>
          <w:pPr>
            <w:pStyle w:val="Hlavicka"/>
            <w:jc w:val="left"/>
          </w:pPr>
        </w:p>
      </w:tc>
      <w:tc>
        <w:tcPr>
          <w:tcW w:w="2500" w:type="pct"/>
          <w:gridSpan w:val="2"/>
          <w:noWrap w:val="0"/>
          <w:tcMar>
            <w:top w:w="85" w:type="dxa"/>
            <w:left w:w="146" w:type="dxa"/>
            <w:bottom w:w="85" w:type="dxa"/>
            <w:right w:w="152" w:type="dxa"/>
          </w:tcMar>
          <w:vAlign w:val="center"/>
          <w:hideMark/>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noWrap w:val="0"/>
          <w:tcMar>
            <w:top w:w="85" w:type="dxa"/>
            <w:left w:w="146" w:type="dxa"/>
            <w:bottom w:w="85" w:type="dxa"/>
            <w:right w:w="152" w:type="dxa"/>
          </w:tcMar>
          <w:vAlign w:val="center"/>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center"/>
          <w:hideMark/>
        </w:tcPr>
        <w:p>
          <w:pPr>
            <w:pStyle w:val="Hlavicka"/>
            <w:jc w:val="left"/>
          </w:pPr>
        </w:p>
      </w:tc>
      <w:tc>
        <w:tcPr>
          <w:tcW w:w="3000" w:type="pct"/>
          <w:gridSpan w:val="2"/>
          <w:noWrap w:val="0"/>
          <w:tcMar>
            <w:top w:w="85" w:type="dxa"/>
            <w:left w:w="146" w:type="dxa"/>
            <w:bottom w:w="85" w:type="dxa"/>
            <w:right w:w="152" w:type="dxa"/>
          </w:tcMar>
          <w:vAlign w:val="center"/>
          <w:hideMark/>
        </w:tcPr>
        <w:p>
          <w:pPr>
            <w:pStyle w:val="Hlavicka"/>
            <w:jc w:val="center"/>
          </w:pPr>
        </w:p>
      </w:tc>
      <w:tc>
        <w:tcPr>
          <w:tcW w:w="1000" w:type="pct"/>
          <w:noWrap w:val="0"/>
          <w:tcMar>
            <w:top w:w="85" w:type="dxa"/>
            <w:left w:w="146" w:type="dxa"/>
            <w:bottom w:w="85" w:type="dxa"/>
            <w:right w:w="152" w:type="dxa"/>
          </w:tcMar>
          <w:vAlign w:val="center"/>
          <w:hideMark/>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noWrap w:val="0"/>
          <w:tcMar>
            <w:top w:w="85" w:type="dxa"/>
            <w:left w:w="146" w:type="dxa"/>
            <w:bottom w:w="85" w:type="dxa"/>
            <w:right w:w="152" w:type="dxa"/>
          </w:tcMar>
          <w:vAlign w:val="center"/>
          <w:hideMark/>
        </w:tcPr>
        <w:p>
          <w:pPr>
            <w:pStyle w:val="Hlavicka"/>
            <w:jc w:val="left"/>
          </w:pPr>
        </w:p>
      </w:tc>
      <w:tc>
        <w:tcPr>
          <w:tcW w:w="2500" w:type="pct"/>
          <w:gridSpan w:val="2"/>
          <w:noWrap w:val="0"/>
          <w:tcMar>
            <w:top w:w="85" w:type="dxa"/>
            <w:left w:w="146" w:type="dxa"/>
            <w:bottom w:w="85" w:type="dxa"/>
            <w:right w:w="152" w:type="dxa"/>
          </w:tcMar>
          <w:vAlign w:val="center"/>
          <w:hideMark/>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noWrap w:val="0"/>
          <w:tcMar>
            <w:top w:w="85" w:type="dxa"/>
            <w:left w:w="146" w:type="dxa"/>
            <w:bottom w:w="85" w:type="dxa"/>
            <w:right w:w="152" w:type="dxa"/>
          </w:tcMar>
          <w:vAlign w:val="center"/>
          <w:hideMark/>
        </w:tcPr>
        <w:p>
          <w:pPr>
            <w:pStyle w:val="HlavickaZlutyText"/>
            <w:jc w:val="center"/>
          </w:pPr>
        </w:p>
      </w:tc>
    </w:tr>
    <w:tr>
      <w:tblPrEx>
        <w:tblW w:w="5000" w:type="pct"/>
      </w:tblPrEx>
      <w:tc>
        <w:tcPr>
          <w:noWrap w:val="0"/>
          <w:tcMar>
            <w:top w:w="85" w:type="dxa"/>
            <w:left w:w="146" w:type="dxa"/>
            <w:bottom w:w="85" w:type="dxa"/>
            <w:right w:w="152" w:type="dxa"/>
          </w:tcMar>
          <w:vAlign w:val="center"/>
          <w:hideMark/>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227" w:after="113"/>
      <w:ind w:left="0" w:right="0" w:firstLine="0"/>
      <w:jc w:val="center"/>
    </w:pPr>
    <w:rPr>
      <w:rFonts w:ascii="Times New Roman" w:eastAsia="Times New Roman" w:hAnsi="Times New Roman" w:cs="Times New Roman"/>
      <w:sz w:val="28"/>
    </w:rPr>
  </w:style>
  <w:style w:type="paragraph" w:customStyle="1" w:styleId="8">
    <w:name w:val="8"/>
    <w:pPr>
      <w:spacing w:before="0" w:after="57"/>
      <w:ind w:right="0"/>
      <w:jc w:val="both"/>
    </w:pPr>
    <w:rPr>
      <w:rFonts w:ascii="Times New Roman" w:eastAsia="Times New Roman" w:hAnsi="Times New Roman" w:cs="Times New Roman"/>
      <w:sz w:val="24"/>
    </w:rPr>
  </w:style>
  <w:style w:type="paragraph" w:customStyle="1" w:styleId="9">
    <w:name w:val="9"/>
    <w:pPr>
      <w:overflowPunct/>
      <w:spacing w:before="0" w:after="28"/>
      <w:ind w:left="623" w:right="0" w:hanging="340"/>
      <w:jc w:val="both"/>
    </w:pPr>
    <w:rPr>
      <w:rFonts w:ascii="Times New Roman" w:eastAsia="Times New Roman" w:hAnsi="Times New Roman" w:cs="Times New Roman"/>
      <w:sz w:val="24"/>
    </w:rPr>
  </w:style>
  <w:style w:type="paragraph" w:customStyle="1" w:styleId="Varianta9start">
    <w:name w:val="Varianta_9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9konec">
    <w:name w:val="Varianta_9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9start">
    <w:name w:val="Ucinnost_9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9konec">
    <w:name w:val="Ucinnost_9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9start">
    <w:name w:val="Pripominky_9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10">
    <w:name w:val="10"/>
    <w:pPr>
      <w:overflowPunct/>
      <w:spacing w:before="28" w:after="113"/>
      <w:ind w:left="623" w:right="0" w:hanging="340"/>
      <w:jc w:val="both"/>
    </w:pPr>
    <w:rPr>
      <w:rFonts w:ascii="Times New Roman" w:eastAsia="Times New Roman" w:hAnsi="Times New Roman" w:cs="Times New Roman"/>
      <w:sz w:val="24"/>
    </w:rPr>
  </w:style>
  <w:style w:type="paragraph" w:customStyle="1" w:styleId="Varianta10start">
    <w:name w:val="Varianta_10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10konec">
    <w:name w:val="Varianta_10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10start">
    <w:name w:val="Ucinnost_10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10konec">
    <w:name w:val="Ucinnost_10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10start">
    <w:name w:val="Pripominky_10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11">
    <w:name w:val="11"/>
    <w:pPr>
      <w:spacing w:before="0" w:after="0"/>
      <w:ind w:left="964" w:right="0"/>
      <w:jc w:val="left"/>
    </w:pPr>
    <w:rPr>
      <w:rFonts w:ascii="Times New Roman" w:eastAsia="Times New Roman" w:hAnsi="Times New Roman" w:cs="Times New Roman"/>
      <w:sz w:val="0"/>
    </w:rPr>
  </w:style>
  <w:style w:type="paragraph" w:customStyle="1" w:styleId="12">
    <w:name w:val="12"/>
    <w:pPr>
      <w:overflowPunct/>
      <w:spacing w:before="0" w:after="113"/>
      <w:ind w:left="1474" w:right="0" w:hanging="510"/>
      <w:jc w:val="both"/>
    </w:pPr>
    <w:rPr>
      <w:rFonts w:ascii="Times New Roman" w:eastAsia="Times New Roman" w:hAnsi="Times New Roman" w:cs="Times New Roman"/>
      <w:sz w:val="24"/>
    </w:rPr>
  </w:style>
  <w:style w:type="paragraph" w:customStyle="1" w:styleId="Varianta12start">
    <w:name w:val="Varianta_12_start"/>
    <w:pPr>
      <w:pBdr>
        <w:top w:val="single" w:sz="8" w:space="0" w:color="800080"/>
      </w:pBdr>
      <w:spacing w:before="0" w:after="100"/>
      <w:ind w:left="1474"/>
      <w:jc w:val="left"/>
    </w:pPr>
    <w:rPr>
      <w:rFonts w:ascii="Times New Roman" w:eastAsia="Times New Roman" w:hAnsi="Times New Roman" w:cs="Times New Roman"/>
      <w:b/>
      <w:i/>
      <w:color w:val="800080"/>
      <w:sz w:val="20"/>
    </w:rPr>
  </w:style>
  <w:style w:type="paragraph" w:customStyle="1" w:styleId="Varianta12konec">
    <w:name w:val="Varianta_12_konec"/>
    <w:pPr>
      <w:pBdr>
        <w:bottom w:val="single" w:sz="8" w:space="0" w:color="800080"/>
      </w:pBdr>
      <w:spacing w:before="0" w:after="100"/>
      <w:ind w:left="1474"/>
      <w:jc w:val="left"/>
    </w:pPr>
    <w:rPr>
      <w:rFonts w:ascii="Times New Roman" w:eastAsia="Times New Roman" w:hAnsi="Times New Roman" w:cs="Times New Roman"/>
      <w:b/>
      <w:i/>
      <w:color w:val="800080"/>
      <w:sz w:val="20"/>
    </w:rPr>
  </w:style>
  <w:style w:type="paragraph" w:customStyle="1" w:styleId="Ucinnost12start">
    <w:name w:val="Ucinnost_12_start"/>
    <w:pPr>
      <w:pBdr>
        <w:top w:val="single" w:sz="8" w:space="0" w:color="8B0000"/>
      </w:pBdr>
      <w:spacing w:before="0" w:after="100"/>
      <w:ind w:left="1474"/>
      <w:jc w:val="left"/>
    </w:pPr>
    <w:rPr>
      <w:rFonts w:ascii="Times New Roman" w:eastAsia="Times New Roman" w:hAnsi="Times New Roman" w:cs="Times New Roman"/>
      <w:b/>
      <w:i/>
      <w:color w:val="8B0000"/>
      <w:sz w:val="20"/>
    </w:rPr>
  </w:style>
  <w:style w:type="paragraph" w:customStyle="1" w:styleId="Ucinnost12konec">
    <w:name w:val="Ucinnost_12_konec"/>
    <w:pPr>
      <w:pBdr>
        <w:bottom w:val="single" w:sz="8" w:space="0" w:color="8B0000"/>
      </w:pBdr>
      <w:spacing w:before="0" w:after="100"/>
      <w:ind w:left="1474"/>
      <w:jc w:val="left"/>
    </w:pPr>
    <w:rPr>
      <w:rFonts w:ascii="Times New Roman" w:eastAsia="Times New Roman" w:hAnsi="Times New Roman" w:cs="Times New Roman"/>
      <w:b/>
      <w:i/>
      <w:color w:val="8B0000"/>
      <w:sz w:val="20"/>
    </w:rPr>
  </w:style>
  <w:style w:type="paragraph" w:customStyle="1" w:styleId="Pripominky12start">
    <w:name w:val="Pripominky_12_start"/>
    <w:pPr>
      <w:pBdr>
        <w:top w:val="single" w:sz="8" w:space="0" w:color="87CEFA"/>
      </w:pBdr>
      <w:spacing w:before="0" w:after="100"/>
      <w:ind w:left="1474"/>
      <w:jc w:val="right"/>
    </w:pPr>
    <w:rPr>
      <w:rFonts w:ascii="Times New Roman" w:eastAsia="Times New Roman" w:hAnsi="Times New Roman" w:cs="Times New Roman"/>
      <w:b/>
      <w:i/>
      <w:color w:val="87CEFA"/>
      <w:sz w:val="20"/>
    </w:rPr>
  </w:style>
  <w:style w:type="paragraph" w:customStyle="1" w:styleId="13">
    <w:name w:val="13"/>
    <w:pPr>
      <w:spacing w:before="113" w:after="57"/>
      <w:ind w:left="624" w:right="0"/>
      <w:jc w:val="both"/>
    </w:pPr>
    <w:rPr>
      <w:rFonts w:ascii="Times New Roman" w:eastAsia="Times New Roman" w:hAnsi="Times New Roman" w:cs="Times New Roman"/>
      <w:sz w:val="24"/>
    </w:rPr>
  </w:style>
  <w:style w:type="paragraph" w:customStyle="1" w:styleId="14">
    <w:name w:val="14"/>
    <w:pPr>
      <w:overflowPunct/>
      <w:spacing w:before="0" w:after="57"/>
      <w:ind w:left="1474" w:right="0" w:hanging="510"/>
      <w:jc w:val="both"/>
    </w:pPr>
    <w:rPr>
      <w:rFonts w:ascii="Times New Roman" w:eastAsia="Times New Roman" w:hAnsi="Times New Roman" w:cs="Times New Roman"/>
      <w:sz w:val="24"/>
    </w:rPr>
  </w:style>
  <w:style w:type="paragraph" w:customStyle="1" w:styleId="Varianta14start">
    <w:name w:val="Varianta_14_start"/>
    <w:pPr>
      <w:pBdr>
        <w:top w:val="single" w:sz="8" w:space="0" w:color="800080"/>
      </w:pBdr>
      <w:spacing w:before="0" w:after="100"/>
      <w:ind w:left="1474"/>
      <w:jc w:val="left"/>
    </w:pPr>
    <w:rPr>
      <w:rFonts w:ascii="Times New Roman" w:eastAsia="Times New Roman" w:hAnsi="Times New Roman" w:cs="Times New Roman"/>
      <w:b/>
      <w:i/>
      <w:color w:val="800080"/>
      <w:sz w:val="20"/>
    </w:rPr>
  </w:style>
  <w:style w:type="paragraph" w:customStyle="1" w:styleId="Varianta14konec">
    <w:name w:val="Varianta_14_konec"/>
    <w:pPr>
      <w:pBdr>
        <w:bottom w:val="single" w:sz="8" w:space="0" w:color="800080"/>
      </w:pBdr>
      <w:spacing w:before="0" w:after="100"/>
      <w:ind w:left="1474"/>
      <w:jc w:val="left"/>
    </w:pPr>
    <w:rPr>
      <w:rFonts w:ascii="Times New Roman" w:eastAsia="Times New Roman" w:hAnsi="Times New Roman" w:cs="Times New Roman"/>
      <w:b/>
      <w:i/>
      <w:color w:val="800080"/>
      <w:sz w:val="20"/>
    </w:rPr>
  </w:style>
  <w:style w:type="paragraph" w:customStyle="1" w:styleId="Ucinnost14start">
    <w:name w:val="Ucinnost_14_start"/>
    <w:pPr>
      <w:pBdr>
        <w:top w:val="single" w:sz="8" w:space="0" w:color="8B0000"/>
      </w:pBdr>
      <w:spacing w:before="0" w:after="100"/>
      <w:ind w:left="1474"/>
      <w:jc w:val="left"/>
    </w:pPr>
    <w:rPr>
      <w:rFonts w:ascii="Times New Roman" w:eastAsia="Times New Roman" w:hAnsi="Times New Roman" w:cs="Times New Roman"/>
      <w:b/>
      <w:i/>
      <w:color w:val="8B0000"/>
      <w:sz w:val="20"/>
    </w:rPr>
  </w:style>
  <w:style w:type="paragraph" w:customStyle="1" w:styleId="Ucinnost14konec">
    <w:name w:val="Ucinnost_14_konec"/>
    <w:pPr>
      <w:pBdr>
        <w:bottom w:val="single" w:sz="8" w:space="0" w:color="8B0000"/>
      </w:pBdr>
      <w:spacing w:before="0" w:after="100"/>
      <w:ind w:left="1474"/>
      <w:jc w:val="left"/>
    </w:pPr>
    <w:rPr>
      <w:rFonts w:ascii="Times New Roman" w:eastAsia="Times New Roman" w:hAnsi="Times New Roman" w:cs="Times New Roman"/>
      <w:b/>
      <w:i/>
      <w:color w:val="8B0000"/>
      <w:sz w:val="20"/>
    </w:rPr>
  </w:style>
  <w:style w:type="paragraph" w:customStyle="1" w:styleId="Pripominky14start">
    <w:name w:val="Pripominky_14_start"/>
    <w:pPr>
      <w:pBdr>
        <w:top w:val="single" w:sz="8" w:space="0" w:color="87CEFA"/>
      </w:pBdr>
      <w:spacing w:before="0" w:after="100"/>
      <w:ind w:left="1474"/>
      <w:jc w:val="right"/>
    </w:pPr>
    <w:rPr>
      <w:rFonts w:ascii="Times New Roman" w:eastAsia="Times New Roman" w:hAnsi="Times New Roman" w:cs="Times New Roman"/>
      <w:b/>
      <w:i/>
      <w:color w:val="87CEFA"/>
      <w:sz w:val="20"/>
    </w:rPr>
  </w:style>
  <w:style w:type="paragraph" w:customStyle="1" w:styleId="15">
    <w:name w:val="15"/>
    <w:pPr>
      <w:overflowPunct/>
      <w:spacing w:before="0" w:after="113"/>
      <w:ind w:left="623" w:right="0" w:hanging="340"/>
      <w:jc w:val="both"/>
    </w:pPr>
    <w:rPr>
      <w:rFonts w:ascii="Times New Roman" w:eastAsia="Times New Roman" w:hAnsi="Times New Roman" w:cs="Times New Roman"/>
      <w:sz w:val="24"/>
    </w:rPr>
  </w:style>
  <w:style w:type="paragraph" w:customStyle="1" w:styleId="Varianta15start">
    <w:name w:val="Varianta_15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15konec">
    <w:name w:val="Varianta_15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15start">
    <w:name w:val="Ucinnost_15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15konec">
    <w:name w:val="Ucinnost_15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15start">
    <w:name w:val="Pripominky_15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16">
    <w:name w:val="16"/>
    <w:pPr>
      <w:overflowPunct/>
      <w:spacing w:before="0" w:after="57"/>
      <w:ind w:left="964" w:right="0" w:firstLine="0"/>
      <w:jc w:val="both"/>
    </w:pPr>
    <w:rPr>
      <w:rFonts w:ascii="Times New Roman" w:eastAsia="Times New Roman" w:hAnsi="Times New Roman" w:cs="Times New Roman"/>
      <w:sz w:val="24"/>
    </w:rPr>
  </w:style>
  <w:style w:type="paragraph" w:customStyle="1" w:styleId="17">
    <w:name w:val="17"/>
    <w:pPr>
      <w:spacing w:before="0" w:after="57"/>
      <w:ind w:left="964" w:right="0"/>
      <w:jc w:val="both"/>
    </w:pPr>
    <w:rPr>
      <w:rFonts w:ascii="Times New Roman" w:eastAsia="Times New Roman" w:hAnsi="Times New Roman" w:cs="Times New Roman"/>
      <w:sz w:val="24"/>
    </w:rPr>
  </w:style>
  <w:style w:type="table" w:customStyle="1" w:styleId="data-tisk-na-sirkuPouzeNaPrvniStranezahlavi">
    <w:name w:val="data-tisk-na-sirku PouzeNaPrvniStrane_zahlavi"/>
    <w:basedOn w:val="TableNormal"/>
    <w:tblPr/>
  </w:style>
  <w:style w:type="table" w:customStyle="1" w:styleId="TABLEXPouzeNaPrvniStranezahlavi">
    <w:name w:val="TABLEX PouzeNaPrvniStrane_zahlavi"/>
    <w:basedOn w:val="TableNormal"/>
    <w:tblPr/>
  </w:style>
  <w:style w:type="paragraph" w:customStyle="1" w:styleId="18">
    <w:name w:val="18"/>
    <w:pPr>
      <w:spacing w:before="0" w:after="57"/>
      <w:ind w:left="624" w:right="0"/>
      <w:jc w:val="both"/>
    </w:pPr>
    <w:rPr>
      <w:rFonts w:ascii="Times New Roman" w:eastAsia="Times New Roman" w:hAnsi="Times New Roman" w:cs="Times New Roman"/>
      <w:sz w:val="24"/>
    </w:rPr>
  </w:style>
  <w:style w:type="paragraph" w:customStyle="1" w:styleId="19">
    <w:name w:val="19"/>
    <w:pPr>
      <w:spacing w:before="737" w:after="57"/>
      <w:ind w:left="964" w:right="0"/>
      <w:jc w:val="right"/>
    </w:pPr>
    <w:rPr>
      <w:rFonts w:ascii="Times New Roman" w:eastAsia="Times New Roman" w:hAnsi="Times New Roman" w:cs="Times New Roman"/>
      <w:b/>
      <w:sz w:val="26"/>
    </w:rPr>
  </w:style>
  <w:style w:type="paragraph" w:customStyle="1" w:styleId="20">
    <w:name w:val="20"/>
    <w:pPr>
      <w:spacing w:before="170" w:after="57"/>
      <w:ind w:left="964" w:right="0"/>
      <w:jc w:val="left"/>
    </w:pPr>
    <w:rPr>
      <w:rFonts w:ascii="Times New Roman" w:eastAsia="Times New Roman" w:hAnsi="Times New Roman" w:cs="Times New Roman"/>
      <w:b/>
      <w:sz w:val="26"/>
    </w:rPr>
  </w:style>
  <w:style w:type="paragraph" w:customStyle="1" w:styleId="21">
    <w:name w:val="21"/>
    <w:pPr>
      <w:spacing w:before="0" w:after="57"/>
      <w:ind w:left="850" w:right="850"/>
      <w:jc w:val="center"/>
    </w:pPr>
    <w:rPr>
      <w:rFonts w:ascii="Times New Roman" w:eastAsia="Times New Roman" w:hAnsi="Times New Roman" w:cs="Times New Roman"/>
      <w:b/>
      <w:sz w:val="28"/>
    </w:rPr>
  </w:style>
  <w:style w:type="paragraph" w:customStyle="1" w:styleId="22">
    <w:name w:val="22"/>
    <w:pPr>
      <w:spacing w:before="57" w:after="57"/>
      <w:ind w:right="0"/>
      <w:jc w:val="center"/>
    </w:pPr>
    <w:rPr>
      <w:rFonts w:ascii="Times New Roman" w:eastAsia="Times New Roman" w:hAnsi="Times New Roman" w:cs="Times New Roman"/>
      <w:sz w:val="24"/>
    </w:rPr>
  </w:style>
  <w:style w:type="paragraph" w:customStyle="1" w:styleId="23">
    <w:name w:val="23"/>
    <w:pPr>
      <w:spacing w:before="57" w:after="0"/>
      <w:ind w:right="0"/>
      <w:jc w:val="center"/>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jpeg" /><Relationship Id="rId25" Type="http://schemas.openxmlformats.org/officeDocument/2006/relationships/image" Target="media/image22.jpeg" /><Relationship Id="rId26" Type="http://schemas.openxmlformats.org/officeDocument/2006/relationships/image" Target="media/image23.jpeg" /><Relationship Id="rId27" Type="http://schemas.openxmlformats.org/officeDocument/2006/relationships/image" Target="media/image24.jpeg" /><Relationship Id="rId28" Type="http://schemas.openxmlformats.org/officeDocument/2006/relationships/image" Target="media/image25.jpeg" /><Relationship Id="rId29" Type="http://schemas.openxmlformats.org/officeDocument/2006/relationships/image" Target="media/image26.jpeg" /><Relationship Id="rId3" Type="http://schemas.openxmlformats.org/officeDocument/2006/relationships/fontTable" Target="fontTable.xml" /><Relationship Id="rId30" Type="http://schemas.openxmlformats.org/officeDocument/2006/relationships/image" Target="media/image27.jpeg" /><Relationship Id="rId31" Type="http://schemas.openxmlformats.org/officeDocument/2006/relationships/image" Target="media/image28.jpeg" /><Relationship Id="rId32" Type="http://schemas.openxmlformats.org/officeDocument/2006/relationships/image" Target="media/image29.jpeg" /><Relationship Id="rId33" Type="http://schemas.openxmlformats.org/officeDocument/2006/relationships/image" Target="media/image30.jpeg" /><Relationship Id="rId34" Type="http://schemas.openxmlformats.org/officeDocument/2006/relationships/image" Target="media/image31.jpeg" /><Relationship Id="rId35" Type="http://schemas.openxmlformats.org/officeDocument/2006/relationships/image" Target="media/image32.jpeg" /><Relationship Id="rId36" Type="http://schemas.openxmlformats.org/officeDocument/2006/relationships/image" Target="media/image33.jpeg" /><Relationship Id="rId37" Type="http://schemas.openxmlformats.org/officeDocument/2006/relationships/image" Target="media/image34.jpeg" /><Relationship Id="rId38" Type="http://schemas.openxmlformats.org/officeDocument/2006/relationships/image" Target="media/image35.jpeg" /><Relationship Id="rId39" Type="http://schemas.openxmlformats.org/officeDocument/2006/relationships/image" Target="media/image36.jpeg" /><Relationship Id="rId4" Type="http://schemas.openxmlformats.org/officeDocument/2006/relationships/image" Target="media/image1.jpeg" /><Relationship Id="rId40" Type="http://schemas.openxmlformats.org/officeDocument/2006/relationships/image" Target="media/image37.jpeg" /><Relationship Id="rId41" Type="http://schemas.openxmlformats.org/officeDocument/2006/relationships/image" Target="media/image38.jpeg" /><Relationship Id="rId42" Type="http://schemas.openxmlformats.org/officeDocument/2006/relationships/image" Target="media/image39.jpeg" /><Relationship Id="rId43" Type="http://schemas.openxmlformats.org/officeDocument/2006/relationships/image" Target="media/image40.jpeg" /><Relationship Id="rId44" Type="http://schemas.openxmlformats.org/officeDocument/2006/relationships/image" Target="media/image41.jpeg" /><Relationship Id="rId45" Type="http://schemas.openxmlformats.org/officeDocument/2006/relationships/image" Target="media/image42.jpeg" /><Relationship Id="rId46" Type="http://schemas.openxmlformats.org/officeDocument/2006/relationships/image" Target="media/image43.jpeg" /><Relationship Id="rId47" Type="http://schemas.openxmlformats.org/officeDocument/2006/relationships/image" Target="media/image44.jpeg" /><Relationship Id="rId48" Type="http://schemas.openxmlformats.org/officeDocument/2006/relationships/image" Target="media/image45.jpeg" /><Relationship Id="rId49" Type="http://schemas.openxmlformats.org/officeDocument/2006/relationships/image" Target="media/image46.jpeg" /><Relationship Id="rId5" Type="http://schemas.openxmlformats.org/officeDocument/2006/relationships/image" Target="media/image2.jpeg" /><Relationship Id="rId50" Type="http://schemas.openxmlformats.org/officeDocument/2006/relationships/image" Target="media/image47.jpeg" /><Relationship Id="rId51" Type="http://schemas.openxmlformats.org/officeDocument/2006/relationships/image" Target="media/image48.jpeg" /><Relationship Id="rId52" Type="http://schemas.openxmlformats.org/officeDocument/2006/relationships/image" Target="media/image49.jpeg" /><Relationship Id="rId53" Type="http://schemas.openxmlformats.org/officeDocument/2006/relationships/image" Target="media/image50.jpeg" /><Relationship Id="rId54" Type="http://schemas.openxmlformats.org/officeDocument/2006/relationships/image" Target="media/image51.jpeg" /><Relationship Id="rId55" Type="http://schemas.openxmlformats.org/officeDocument/2006/relationships/image" Target="media/image52.jpeg" /><Relationship Id="rId56" Type="http://schemas.openxmlformats.org/officeDocument/2006/relationships/image" Target="media/image53.jpeg" /><Relationship Id="rId57" Type="http://schemas.openxmlformats.org/officeDocument/2006/relationships/image" Target="media/image54.jpeg" /><Relationship Id="rId58" Type="http://schemas.openxmlformats.org/officeDocument/2006/relationships/image" Target="media/image55.jpeg" /><Relationship Id="rId59" Type="http://schemas.openxmlformats.org/officeDocument/2006/relationships/image" Target="media/image56.jpeg" /><Relationship Id="rId6" Type="http://schemas.openxmlformats.org/officeDocument/2006/relationships/image" Target="media/image3.jpeg" /><Relationship Id="rId60" Type="http://schemas.openxmlformats.org/officeDocument/2006/relationships/image" Target="media/image57.jpeg" /><Relationship Id="rId61" Type="http://schemas.openxmlformats.org/officeDocument/2006/relationships/image" Target="media/image58.jpeg" /><Relationship Id="rId62" Type="http://schemas.openxmlformats.org/officeDocument/2006/relationships/image" Target="media/image59.jpeg" /><Relationship Id="rId63" Type="http://schemas.openxmlformats.org/officeDocument/2006/relationships/image" Target="media/image60.jpeg" /><Relationship Id="rId64" Type="http://schemas.openxmlformats.org/officeDocument/2006/relationships/image" Target="media/image61.jpeg" /><Relationship Id="rId65" Type="http://schemas.openxmlformats.org/officeDocument/2006/relationships/image" Target="media/image62.jpeg" /><Relationship Id="rId66" Type="http://schemas.openxmlformats.org/officeDocument/2006/relationships/image" Target="media/image63.jpeg" /><Relationship Id="rId67" Type="http://schemas.openxmlformats.org/officeDocument/2006/relationships/image" Target="media/image64.jpeg" /><Relationship Id="rId68" Type="http://schemas.openxmlformats.org/officeDocument/2006/relationships/image" Target="media/image65.jpeg" /><Relationship Id="rId69" Type="http://schemas.openxmlformats.org/officeDocument/2006/relationships/image" Target="media/image66.jpeg" /><Relationship Id="rId7" Type="http://schemas.openxmlformats.org/officeDocument/2006/relationships/image" Target="media/image4.jpeg" /><Relationship Id="rId70" Type="http://schemas.openxmlformats.org/officeDocument/2006/relationships/image" Target="media/image67.jpeg" /><Relationship Id="rId71" Type="http://schemas.openxmlformats.org/officeDocument/2006/relationships/image" Target="media/image68.jpeg" /><Relationship Id="rId72" Type="http://schemas.openxmlformats.org/officeDocument/2006/relationships/image" Target="media/image69.jpeg" /><Relationship Id="rId73" Type="http://schemas.openxmlformats.org/officeDocument/2006/relationships/image" Target="media/image70.jpeg" /><Relationship Id="rId74" Type="http://schemas.openxmlformats.org/officeDocument/2006/relationships/image" Target="media/image71.jpeg" /><Relationship Id="rId75" Type="http://schemas.openxmlformats.org/officeDocument/2006/relationships/image" Target="media/image72.jpeg" /><Relationship Id="rId76" Type="http://schemas.openxmlformats.org/officeDocument/2006/relationships/header" Target="header1.xml" /><Relationship Id="rId77" Type="http://schemas.openxmlformats.org/officeDocument/2006/relationships/header" Target="header2.xml" /><Relationship Id="rId78" Type="http://schemas.openxmlformats.org/officeDocument/2006/relationships/header" Target="header3.xml" /><Relationship Id="rId79" Type="http://schemas.openxmlformats.org/officeDocument/2006/relationships/theme" Target="theme/theme1.xml" /><Relationship Id="rId8" Type="http://schemas.openxmlformats.org/officeDocument/2006/relationships/image" Target="media/image5.jpeg" /><Relationship Id="rId80" Type="http://schemas.openxmlformats.org/officeDocument/2006/relationships/styles" Target="styles.xml"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Sb_2025_205_2025-07-01_IZ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8902b80939c1206b7f6a5c161fdedf45</vt:lpwstr>
  </property>
  <property fmtid="{D5CDD505-2E9C-101B-9397-08002B2CF9AE}" pid="3" name="IdPodprostoru">
    <vt:lpwstr/>
  </property>
  <property fmtid="{D5CDD505-2E9C-101B-9397-08002B2CF9AE}" pid="4" name="JeUzavrena">
    <vt:lpwstr/>
  </property>
  <property fmtid="{D5CDD505-2E9C-101B-9397-08002B2CF9AE}" pid="5" name="PozadavekId">
    <vt:lpwstr>685c698d-ed2a-43c8-aa0f-d28dfcd9c9ed</vt:lpwstr>
  </property>
  <property fmtid="{D5CDD505-2E9C-101B-9397-08002B2CF9AE}" pid="6" name="Verze aplikace">
    <vt:lpwstr>v1.0-07.38</vt:lpwstr>
  </property>
  <property fmtid="{D5CDD505-2E9C-101B-9397-08002B2CF9AE}" pid="7" name="VrstvaNavrhuId">
    <vt:lpwstr/>
  </property>
  <property fmtid="{D5CDD505-2E9C-101B-9397-08002B2CF9AE}" pid="8" name="VrstvaObsahuId">
    <vt:lpwstr/>
  </property>
</Properties>
</file>